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A00383" w:rsidRDefault="007B70C2" w:rsidP="007B70C2">
      <w:pPr>
        <w:spacing w:line="360" w:lineRule="auto"/>
        <w:jc w:val="both"/>
        <w:rPr>
          <w:rFonts w:ascii="Palatino Linotype" w:hAnsi="Palatino Linotype" w:cs="Arial"/>
          <w:b/>
          <w:color w:val="000000" w:themeColor="text1"/>
          <w:lang w:eastAsia="es-MX"/>
        </w:rPr>
      </w:pPr>
      <w:r w:rsidRPr="00A00383">
        <w:rPr>
          <w:rFonts w:ascii="Palatino Linotype" w:hAnsi="Palatino Linotype" w:cs="Arial"/>
          <w:b/>
          <w:color w:val="000000" w:themeColor="text1"/>
        </w:rPr>
        <w:t>VOTO DISIDENTE DEL COMISIONADO JOSÉ GUADALUPE LUNA HERNÁNDEZ EN EL RECURSO DE REVISIÓN</w:t>
      </w:r>
      <w:r w:rsidR="00FC0B18" w:rsidRPr="00A00383">
        <w:rPr>
          <w:rFonts w:ascii="Palatino Linotype" w:hAnsi="Palatino Linotype" w:cs="Arial"/>
          <w:b/>
          <w:color w:val="000000" w:themeColor="text1"/>
        </w:rPr>
        <w:t xml:space="preserve"> </w:t>
      </w:r>
      <w:r w:rsidR="009332A7" w:rsidRPr="00A00383">
        <w:rPr>
          <w:rFonts w:ascii="Palatino Linotype" w:hAnsi="Palatino Linotype" w:cs="Arial"/>
          <w:b/>
          <w:bCs/>
          <w:color w:val="000000" w:themeColor="text1"/>
        </w:rPr>
        <w:t>02466/INFOEM/IP/RR/2018</w:t>
      </w:r>
      <w:r w:rsidR="00A527F0" w:rsidRPr="00A00383">
        <w:rPr>
          <w:rFonts w:ascii="Palatino Linotype" w:hAnsi="Palatino Linotype" w:cs="Arial"/>
          <w:b/>
          <w:bCs/>
          <w:color w:val="000000" w:themeColor="text1"/>
        </w:rPr>
        <w:t>.</w:t>
      </w:r>
    </w:p>
    <w:p w:rsidR="00F436A4" w:rsidRPr="00A00383" w:rsidRDefault="00F436A4" w:rsidP="00F436A4">
      <w:pPr>
        <w:spacing w:line="360" w:lineRule="auto"/>
        <w:jc w:val="both"/>
        <w:rPr>
          <w:rFonts w:ascii="Palatino Linotype" w:hAnsi="Palatino Linotype" w:cs="Arial"/>
          <w:b/>
          <w:i/>
        </w:rPr>
      </w:pPr>
    </w:p>
    <w:p w:rsidR="00F436A4" w:rsidRPr="00A00383" w:rsidRDefault="003503B0" w:rsidP="00F436A4">
      <w:pPr>
        <w:spacing w:line="360" w:lineRule="auto"/>
        <w:jc w:val="both"/>
        <w:rPr>
          <w:rFonts w:ascii="Palatino Linotype" w:hAnsi="Palatino Linotype" w:cs="Arial"/>
          <w:b/>
          <w:bdr w:val="none" w:sz="0" w:space="0" w:color="auto"/>
        </w:rPr>
      </w:pPr>
      <w:r w:rsidRPr="00A00383">
        <w:rPr>
          <w:rFonts w:ascii="Palatino Linotype" w:hAnsi="Palatino Linotype" w:cs="Arial"/>
          <w:b/>
        </w:rPr>
        <w:t>RESUMEN DEL VOTO</w:t>
      </w:r>
    </w:p>
    <w:p w:rsidR="003503B0" w:rsidRPr="00A00383" w:rsidRDefault="003503B0" w:rsidP="003503B0">
      <w:pPr>
        <w:spacing w:line="360" w:lineRule="auto"/>
        <w:jc w:val="both"/>
        <w:rPr>
          <w:rFonts w:ascii="Palatino Linotype" w:hAnsi="Palatino Linotype" w:cs="Arial"/>
          <w:lang w:eastAsia="es-MX"/>
        </w:rPr>
      </w:pPr>
    </w:p>
    <w:p w:rsidR="003503B0" w:rsidRPr="00A00383" w:rsidRDefault="003503B0" w:rsidP="003503B0">
      <w:pPr>
        <w:spacing w:line="360" w:lineRule="auto"/>
        <w:jc w:val="both"/>
        <w:rPr>
          <w:rFonts w:ascii="Palatino Linotype" w:hAnsi="Palatino Linotype" w:cs="Arial"/>
          <w:lang w:eastAsia="es-MX"/>
        </w:rPr>
      </w:pPr>
      <w:r w:rsidRPr="00A00383">
        <w:rPr>
          <w:rFonts w:ascii="Palatino Linotype" w:hAnsi="Palatino Linotype" w:cs="Arial"/>
          <w:lang w:eastAsia="es-MX"/>
        </w:rPr>
        <w:t>Los Órganos de Control Interno</w:t>
      </w:r>
      <w:r w:rsidR="00CF16BC" w:rsidRPr="00A00383">
        <w:rPr>
          <w:rFonts w:ascii="Palatino Linotype" w:hAnsi="Palatino Linotype" w:cs="Arial"/>
          <w:lang w:eastAsia="es-MX"/>
        </w:rPr>
        <w:t xml:space="preserve"> adscritos a los Organismos Auxiliares</w:t>
      </w:r>
      <w:r w:rsidRPr="00A00383">
        <w:rPr>
          <w:rFonts w:ascii="Palatino Linotype" w:hAnsi="Palatino Linotype" w:cs="Arial"/>
          <w:lang w:eastAsia="es-MX"/>
        </w:rPr>
        <w:t>, son los responsables de radicar, tramitar y resolver las quejas y denuncias que la Dirección General de Responsabilidades, les turne a través del Sistema de Atención Mexiquense (SAM), que sean de su competencia, conforme al Reglamento Interior de la Secretaría de la Contraloría</w:t>
      </w:r>
      <w:r w:rsidR="00CF16BC" w:rsidRPr="00A00383">
        <w:rPr>
          <w:rFonts w:ascii="Palatino Linotype" w:hAnsi="Palatino Linotype" w:cs="Arial"/>
          <w:lang w:eastAsia="es-MX"/>
        </w:rPr>
        <w:t>.</w:t>
      </w:r>
      <w:r w:rsidRPr="00A00383">
        <w:rPr>
          <w:rFonts w:ascii="Palatino Linotype" w:hAnsi="Palatino Linotype" w:cs="Arial"/>
          <w:lang w:eastAsia="es-MX"/>
        </w:rPr>
        <w:t xml:space="preserve"> </w:t>
      </w:r>
      <w:r w:rsidR="00CF16BC" w:rsidRPr="00A00383">
        <w:rPr>
          <w:rFonts w:ascii="Palatino Linotype" w:hAnsi="Palatino Linotype" w:cs="Arial"/>
          <w:lang w:eastAsia="es-MX"/>
        </w:rPr>
        <w:t>P</w:t>
      </w:r>
      <w:r w:rsidRPr="00A00383">
        <w:rPr>
          <w:rFonts w:ascii="Palatino Linotype" w:hAnsi="Palatino Linotype" w:cs="Arial"/>
          <w:lang w:eastAsia="es-MX"/>
        </w:rPr>
        <w:t xml:space="preserve">or lo que el hecho de que </w:t>
      </w:r>
      <w:r w:rsidR="00CF16BC" w:rsidRPr="00A00383">
        <w:rPr>
          <w:rFonts w:ascii="Palatino Linotype" w:hAnsi="Palatino Linotype" w:cs="Arial"/>
          <w:lang w:eastAsia="es-MX"/>
        </w:rPr>
        <w:t xml:space="preserve">aquellos </w:t>
      </w:r>
      <w:r w:rsidRPr="00A00383">
        <w:rPr>
          <w:rFonts w:ascii="Palatino Linotype" w:eastAsiaTheme="minorEastAsia" w:hAnsi="Palatino Linotype" w:cs="Bookman Old Style"/>
          <w:color w:val="000000"/>
        </w:rPr>
        <w:t>Órganos Internos de Control de las Dependencias y Organismos Auxiliares o, en su caso, el servidor público que realice las funciones de control y evaluación, sean coordinados y dependan directa y funcionalmente de la Secretaría</w:t>
      </w:r>
      <w:r w:rsidR="00CF16BC" w:rsidRPr="00A00383">
        <w:rPr>
          <w:rFonts w:ascii="Palatino Linotype" w:eastAsiaTheme="minorEastAsia" w:hAnsi="Palatino Linotype" w:cs="Bookman Old Style"/>
          <w:color w:val="000000"/>
        </w:rPr>
        <w:t xml:space="preserve"> de la Contraloría</w:t>
      </w:r>
      <w:r w:rsidRPr="00A00383">
        <w:rPr>
          <w:rFonts w:ascii="Palatino Linotype" w:eastAsiaTheme="minorEastAsia" w:hAnsi="Palatino Linotype" w:cs="Bookman Old Style"/>
          <w:color w:val="000000"/>
        </w:rPr>
        <w:t>, es obstáculo para que puedan poseer, administrar o generar información tocante a la peticionada en la solicitud de información de referencia.</w:t>
      </w:r>
    </w:p>
    <w:p w:rsidR="003503B0" w:rsidRPr="00A00383" w:rsidRDefault="003503B0" w:rsidP="00F436A4">
      <w:pPr>
        <w:spacing w:before="240" w:after="240" w:line="360" w:lineRule="auto"/>
        <w:jc w:val="both"/>
        <w:rPr>
          <w:rFonts w:ascii="Palatino Linotype" w:eastAsia="Calibri" w:hAnsi="Palatino Linotype"/>
          <w:lang w:eastAsia="es-ES"/>
        </w:rPr>
      </w:pPr>
      <w:r w:rsidRPr="00A00383">
        <w:rPr>
          <w:rFonts w:ascii="Palatino Linotype" w:eastAsia="Calibri" w:hAnsi="Palatino Linotype"/>
          <w:noProof/>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-12116</wp:posOffset>
                </wp:positionH>
                <wp:positionV relativeFrom="paragraph">
                  <wp:posOffset>96139</wp:posOffset>
                </wp:positionV>
                <wp:extent cx="5522976" cy="2333549"/>
                <wp:effectExtent l="0" t="0" r="20955" b="29210"/>
                <wp:wrapNone/>
                <wp:docPr id="1" name="Conector recto 1"/>
                <wp:cNvGraphicFramePr/>
                <a:graphic xmlns:a="http://schemas.openxmlformats.org/drawingml/2006/main">
                  <a:graphicData uri="http://schemas.microsoft.com/office/word/2010/wordprocessingShape">
                    <wps:wsp>
                      <wps:cNvCnPr/>
                      <wps:spPr>
                        <a:xfrm>
                          <a:off x="0" y="0"/>
                          <a:ext cx="5522976" cy="2333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8E5B08" id="Conector rec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7.55pt" to="433.9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" strokecolor="black [3200]" strokeweight=".5pt">
                <v:stroke joinstyle="miter"/>
              </v:line>
            </w:pict>
          </mc:Fallback>
        </mc:AlternateContent>
      </w:r>
    </w:p>
    <w:p w:rsidR="006E2911" w:rsidRPr="00A00383" w:rsidRDefault="006E2911" w:rsidP="00F436A4">
      <w:pPr>
        <w:spacing w:before="240" w:after="240" w:line="360" w:lineRule="auto"/>
        <w:jc w:val="both"/>
        <w:rPr>
          <w:rFonts w:ascii="Palatino Linotype" w:eastAsia="Calibri" w:hAnsi="Palatino Linotype"/>
          <w:i/>
          <w:lang w:eastAsia="es-ES"/>
        </w:rPr>
      </w:pPr>
    </w:p>
    <w:p w:rsidR="006E2911" w:rsidRPr="00A00383" w:rsidRDefault="006E2911" w:rsidP="00F436A4">
      <w:pPr>
        <w:spacing w:before="240" w:after="240" w:line="360" w:lineRule="auto"/>
        <w:jc w:val="both"/>
        <w:rPr>
          <w:rFonts w:ascii="Palatino Linotype" w:eastAsia="Calibri" w:hAnsi="Palatino Linotype"/>
          <w:i/>
          <w:lang w:eastAsia="es-ES"/>
        </w:rPr>
      </w:pPr>
    </w:p>
    <w:p w:rsidR="00F436A4" w:rsidRPr="00A00383" w:rsidRDefault="00F436A4" w:rsidP="00F436A4">
      <w:pPr>
        <w:rPr>
          <w:rFonts w:asciiTheme="majorHAnsi" w:hAnsiTheme="majorHAnsi"/>
          <w:color w:val="2E74B5" w:themeColor="accent1" w:themeShade="BF"/>
          <w:sz w:val="32"/>
          <w:szCs w:val="32"/>
          <w:lang w:val="es-ES"/>
        </w:rPr>
      </w:pPr>
    </w:p>
    <w:p w:rsidR="00F436A4" w:rsidRPr="00A00383" w:rsidRDefault="00F436A4" w:rsidP="00F436A4">
      <w:pPr>
        <w:rPr>
          <w:rFonts w:asciiTheme="majorHAnsi" w:hAnsiTheme="majorHAnsi"/>
          <w:color w:val="2E74B5" w:themeColor="accent1" w:themeShade="BF"/>
          <w:sz w:val="32"/>
          <w:szCs w:val="32"/>
          <w:lang w:val="es-ES"/>
        </w:rPr>
      </w:pPr>
    </w:p>
    <w:p w:rsidR="00F436A4" w:rsidRPr="00A00383" w:rsidRDefault="00F436A4" w:rsidP="00F436A4">
      <w:pPr>
        <w:rPr>
          <w:rFonts w:asciiTheme="majorHAnsi" w:hAnsiTheme="majorHAnsi"/>
          <w:color w:val="2E74B5" w:themeColor="accent1" w:themeShade="BF"/>
          <w:sz w:val="32"/>
          <w:szCs w:val="32"/>
          <w:lang w:val="es-ES"/>
        </w:rPr>
      </w:pPr>
    </w:p>
    <w:sdt>
      <w:sdtPr>
        <w:rPr>
          <w:rFonts w:asciiTheme="majorHAnsi" w:hAnsiTheme="majorHAnsi"/>
          <w:color w:val="2E74B5" w:themeColor="accent1" w:themeShade="BF"/>
          <w:sz w:val="32"/>
          <w:szCs w:val="32"/>
          <w:lang w:val="es-ES"/>
        </w:rPr>
        <w:id w:val="-1382787339"/>
        <w:docPartObj>
          <w:docPartGallery w:val="Table of Contents"/>
          <w:docPartUnique/>
        </w:docPartObj>
      </w:sdtPr>
      <w:sdtEndPr>
        <w:rPr>
          <w:rFonts w:ascii="Palatino Linotype" w:hAnsi="Palatino Linotype"/>
          <w:b/>
          <w:bCs/>
          <w:color w:val="000000" w:themeColor="text1"/>
          <w:sz w:val="24"/>
          <w:szCs w:val="24"/>
          <w:lang w:val="es-MX"/>
        </w:rPr>
      </w:sdtEndPr>
      <w:sdtContent>
        <w:p w:rsidR="00F436A4" w:rsidRPr="00A00383" w:rsidRDefault="00F436A4" w:rsidP="00F436A4">
          <w:pPr>
            <w:rPr>
              <w:rFonts w:asciiTheme="majorHAnsi" w:hAnsiTheme="majorHAnsi"/>
              <w:color w:val="2E74B5" w:themeColor="accent1" w:themeShade="BF"/>
              <w:sz w:val="32"/>
              <w:szCs w:val="32"/>
              <w:lang w:val="es-ES"/>
            </w:rPr>
          </w:pPr>
        </w:p>
        <w:p w:rsidR="00F436A4" w:rsidRPr="00A00383" w:rsidRDefault="00F436A4" w:rsidP="00F436A4">
          <w:pPr>
            <w:rPr>
              <w:rFonts w:ascii="Palatino Linotype" w:hAnsi="Palatino Linotype"/>
              <w:b/>
              <w:color w:val="000000" w:themeColor="text1"/>
              <w:sz w:val="28"/>
              <w:szCs w:val="32"/>
              <w:lang w:val="es-ES"/>
            </w:rPr>
          </w:pPr>
          <w:r w:rsidRPr="00A00383">
            <w:rPr>
              <w:rFonts w:ascii="Palatino Linotype" w:hAnsi="Palatino Linotype"/>
              <w:b/>
              <w:color w:val="000000" w:themeColor="text1"/>
              <w:sz w:val="28"/>
              <w:szCs w:val="32"/>
              <w:lang w:val="es-ES"/>
            </w:rPr>
            <w:t xml:space="preserve">Índice </w:t>
          </w:r>
        </w:p>
        <w:p w:rsidR="00F436A4" w:rsidRPr="00A00383" w:rsidRDefault="00F436A4" w:rsidP="00CF16BC">
          <w:pPr>
            <w:spacing w:line="480" w:lineRule="auto"/>
            <w:rPr>
              <w:rFonts w:ascii="Palatino Linotype" w:hAnsi="Palatino Linotype"/>
              <w:b/>
              <w:lang w:val="es-ES" w:eastAsia="es-MX"/>
            </w:rPr>
          </w:pPr>
        </w:p>
        <w:p w:rsidR="00CF16BC" w:rsidRPr="00A00383" w:rsidRDefault="00B82DF9" w:rsidP="00CF16BC">
          <w:pPr>
            <w:pStyle w:val="TDC1"/>
            <w:spacing w:line="480" w:lineRule="auto"/>
            <w:rPr>
              <w:rFonts w:eastAsiaTheme="minorEastAsia" w:cstheme="minorBidi"/>
              <w:b/>
              <w:noProof/>
              <w:sz w:val="22"/>
              <w:szCs w:val="22"/>
              <w:bdr w:val="none" w:sz="0" w:space="0" w:color="auto"/>
              <w:lang w:eastAsia="es-MX"/>
            </w:rPr>
          </w:pPr>
          <w:r w:rsidRPr="00A00383">
            <w:rPr>
              <w:b/>
            </w:rPr>
            <w:fldChar w:fldCharType="begin"/>
          </w:r>
          <w:r w:rsidRPr="00A00383">
            <w:rPr>
              <w:b/>
            </w:rPr>
            <w:instrText xml:space="preserve"> TOC \o "1-3" \h \z \u </w:instrText>
          </w:r>
          <w:r w:rsidRPr="00A00383">
            <w:rPr>
              <w:b/>
            </w:rPr>
            <w:fldChar w:fldCharType="separate"/>
          </w:r>
          <w:hyperlink w:anchor="_Toc523157559" w:history="1">
            <w:r w:rsidR="00CF16BC" w:rsidRPr="00A00383">
              <w:rPr>
                <w:rStyle w:val="Hipervnculo"/>
                <w:rFonts w:eastAsiaTheme="majorEastAsia" w:cstheme="majorBidi"/>
                <w:b/>
                <w:noProof/>
              </w:rPr>
              <w:t>I. Consideraciones Generales</w:t>
            </w:r>
            <w:r w:rsidR="00CF16BC" w:rsidRPr="00A00383">
              <w:rPr>
                <w:b/>
                <w:noProof/>
                <w:webHidden/>
              </w:rPr>
              <w:tab/>
            </w:r>
            <w:r w:rsidR="00CF16BC" w:rsidRPr="00A00383">
              <w:rPr>
                <w:b/>
                <w:noProof/>
                <w:webHidden/>
              </w:rPr>
              <w:fldChar w:fldCharType="begin"/>
            </w:r>
            <w:r w:rsidR="00CF16BC" w:rsidRPr="00A00383">
              <w:rPr>
                <w:b/>
                <w:noProof/>
                <w:webHidden/>
              </w:rPr>
              <w:instrText xml:space="preserve"> PAGEREF _Toc523157559 \h </w:instrText>
            </w:r>
            <w:r w:rsidR="00CF16BC" w:rsidRPr="00A00383">
              <w:rPr>
                <w:b/>
                <w:noProof/>
                <w:webHidden/>
              </w:rPr>
            </w:r>
            <w:r w:rsidR="00CF16BC" w:rsidRPr="00A00383">
              <w:rPr>
                <w:b/>
                <w:noProof/>
                <w:webHidden/>
              </w:rPr>
              <w:fldChar w:fldCharType="separate"/>
            </w:r>
            <w:r w:rsidR="00194198">
              <w:rPr>
                <w:b/>
                <w:noProof/>
                <w:webHidden/>
              </w:rPr>
              <w:t>3</w:t>
            </w:r>
            <w:r w:rsidR="00CF16BC" w:rsidRPr="00A00383">
              <w:rPr>
                <w:b/>
                <w:noProof/>
                <w:webHidden/>
              </w:rPr>
              <w:fldChar w:fldCharType="end"/>
            </w:r>
          </w:hyperlink>
        </w:p>
        <w:p w:rsidR="00CF16BC" w:rsidRPr="00A00383" w:rsidRDefault="00DC74F4" w:rsidP="00CF16BC">
          <w:pPr>
            <w:pStyle w:val="TDC1"/>
            <w:spacing w:line="480" w:lineRule="auto"/>
            <w:rPr>
              <w:rFonts w:eastAsiaTheme="minorEastAsia" w:cstheme="minorBidi"/>
              <w:b/>
              <w:noProof/>
              <w:sz w:val="22"/>
              <w:szCs w:val="22"/>
              <w:bdr w:val="none" w:sz="0" w:space="0" w:color="auto"/>
              <w:lang w:eastAsia="es-MX"/>
            </w:rPr>
          </w:pPr>
          <w:hyperlink w:anchor="_Toc523157560" w:history="1">
            <w:r w:rsidR="00CF16BC" w:rsidRPr="00A00383">
              <w:rPr>
                <w:rStyle w:val="Hipervnculo"/>
                <w:b/>
                <w:noProof/>
              </w:rPr>
              <w:t>II.</w:t>
            </w:r>
            <w:r w:rsidR="00CF16BC" w:rsidRPr="00A00383">
              <w:rPr>
                <w:rFonts w:eastAsiaTheme="minorEastAsia" w:cstheme="minorBidi"/>
                <w:b/>
                <w:noProof/>
                <w:sz w:val="22"/>
                <w:szCs w:val="22"/>
                <w:bdr w:val="none" w:sz="0" w:space="0" w:color="auto"/>
                <w:lang w:eastAsia="es-MX"/>
              </w:rPr>
              <w:tab/>
            </w:r>
            <w:r w:rsidR="00CF16BC" w:rsidRPr="00A00383">
              <w:rPr>
                <w:rStyle w:val="Hipervnculo"/>
                <w:b/>
                <w:noProof/>
              </w:rPr>
              <w:t>De los requerimientos planteados en el recurso de revisión.</w:t>
            </w:r>
            <w:r w:rsidR="00CF16BC" w:rsidRPr="00A00383">
              <w:rPr>
                <w:b/>
                <w:noProof/>
                <w:webHidden/>
              </w:rPr>
              <w:tab/>
            </w:r>
            <w:r w:rsidR="00CF16BC" w:rsidRPr="00A00383">
              <w:rPr>
                <w:b/>
                <w:noProof/>
                <w:webHidden/>
              </w:rPr>
              <w:fldChar w:fldCharType="begin"/>
            </w:r>
            <w:r w:rsidR="00CF16BC" w:rsidRPr="00A00383">
              <w:rPr>
                <w:b/>
                <w:noProof/>
                <w:webHidden/>
              </w:rPr>
              <w:instrText xml:space="preserve"> PAGEREF _Toc523157560 \h </w:instrText>
            </w:r>
            <w:r w:rsidR="00CF16BC" w:rsidRPr="00A00383">
              <w:rPr>
                <w:b/>
                <w:noProof/>
                <w:webHidden/>
              </w:rPr>
            </w:r>
            <w:r w:rsidR="00CF16BC" w:rsidRPr="00A00383">
              <w:rPr>
                <w:b/>
                <w:noProof/>
                <w:webHidden/>
              </w:rPr>
              <w:fldChar w:fldCharType="separate"/>
            </w:r>
            <w:r w:rsidR="00194198">
              <w:rPr>
                <w:b/>
                <w:noProof/>
                <w:webHidden/>
              </w:rPr>
              <w:t>4</w:t>
            </w:r>
            <w:r w:rsidR="00CF16BC" w:rsidRPr="00A00383">
              <w:rPr>
                <w:b/>
                <w:noProof/>
                <w:webHidden/>
              </w:rPr>
              <w:fldChar w:fldCharType="end"/>
            </w:r>
          </w:hyperlink>
        </w:p>
        <w:p w:rsidR="00CF16BC" w:rsidRPr="00A00383" w:rsidRDefault="00DC74F4" w:rsidP="00CF16BC">
          <w:pPr>
            <w:pStyle w:val="TDC2"/>
            <w:rPr>
              <w:rFonts w:ascii="Palatino Linotype" w:eastAsiaTheme="minorEastAsia" w:hAnsi="Palatino Linotype" w:cstheme="minorBidi"/>
              <w:b/>
              <w:noProof/>
              <w:sz w:val="22"/>
              <w:szCs w:val="22"/>
              <w:bdr w:val="none" w:sz="0" w:space="0" w:color="auto"/>
              <w:lang w:eastAsia="es-MX"/>
            </w:rPr>
          </w:pPr>
          <w:hyperlink w:anchor="_Toc523157561" w:history="1">
            <w:r w:rsidR="00CF16BC" w:rsidRPr="00A00383">
              <w:rPr>
                <w:rStyle w:val="Hipervnculo"/>
                <w:rFonts w:ascii="Palatino Linotype" w:hAnsi="Palatino Linotype"/>
                <w:b/>
                <w:noProof/>
              </w:rPr>
              <w:t>III. De la respuesta del Sujeto Obligado.</w:t>
            </w:r>
            <w:r w:rsidR="00CF16BC" w:rsidRPr="00A00383">
              <w:rPr>
                <w:rFonts w:ascii="Palatino Linotype" w:hAnsi="Palatino Linotype"/>
                <w:b/>
                <w:noProof/>
                <w:webHidden/>
              </w:rPr>
              <w:tab/>
            </w:r>
            <w:r w:rsidR="00CF16BC" w:rsidRPr="00A00383">
              <w:rPr>
                <w:rFonts w:ascii="Palatino Linotype" w:hAnsi="Palatino Linotype"/>
                <w:b/>
                <w:noProof/>
                <w:webHidden/>
              </w:rPr>
              <w:fldChar w:fldCharType="begin"/>
            </w:r>
            <w:r w:rsidR="00CF16BC" w:rsidRPr="00A00383">
              <w:rPr>
                <w:rFonts w:ascii="Palatino Linotype" w:hAnsi="Palatino Linotype"/>
                <w:b/>
                <w:noProof/>
                <w:webHidden/>
              </w:rPr>
              <w:instrText xml:space="preserve"> PAGEREF _Toc523157561 \h </w:instrText>
            </w:r>
            <w:r w:rsidR="00CF16BC" w:rsidRPr="00A00383">
              <w:rPr>
                <w:rFonts w:ascii="Palatino Linotype" w:hAnsi="Palatino Linotype"/>
                <w:b/>
                <w:noProof/>
                <w:webHidden/>
              </w:rPr>
            </w:r>
            <w:r w:rsidR="00CF16BC" w:rsidRPr="00A00383">
              <w:rPr>
                <w:rFonts w:ascii="Palatino Linotype" w:hAnsi="Palatino Linotype"/>
                <w:b/>
                <w:noProof/>
                <w:webHidden/>
              </w:rPr>
              <w:fldChar w:fldCharType="separate"/>
            </w:r>
            <w:r w:rsidR="00194198">
              <w:rPr>
                <w:rFonts w:ascii="Palatino Linotype" w:hAnsi="Palatino Linotype"/>
                <w:b/>
                <w:noProof/>
                <w:webHidden/>
              </w:rPr>
              <w:t>5</w:t>
            </w:r>
            <w:r w:rsidR="00CF16BC" w:rsidRPr="00A00383">
              <w:rPr>
                <w:rFonts w:ascii="Palatino Linotype" w:hAnsi="Palatino Linotype"/>
                <w:b/>
                <w:noProof/>
                <w:webHidden/>
              </w:rPr>
              <w:fldChar w:fldCharType="end"/>
            </w:r>
          </w:hyperlink>
        </w:p>
        <w:p w:rsidR="00CF16BC" w:rsidRPr="00A00383" w:rsidRDefault="00DC74F4" w:rsidP="00CF16BC">
          <w:pPr>
            <w:pStyle w:val="TDC1"/>
            <w:spacing w:line="480" w:lineRule="auto"/>
            <w:rPr>
              <w:rFonts w:eastAsiaTheme="minorEastAsia" w:cstheme="minorBidi"/>
              <w:b/>
              <w:noProof/>
              <w:sz w:val="22"/>
              <w:szCs w:val="22"/>
              <w:bdr w:val="none" w:sz="0" w:space="0" w:color="auto"/>
              <w:lang w:eastAsia="es-MX"/>
            </w:rPr>
          </w:pPr>
          <w:hyperlink w:anchor="_Toc523157562" w:history="1">
            <w:r w:rsidR="00CF16BC" w:rsidRPr="00A00383">
              <w:rPr>
                <w:rStyle w:val="Hipervnculo"/>
                <w:rFonts w:cs="Arial"/>
                <w:b/>
                <w:noProof/>
              </w:rPr>
              <w:t>IV.</w:t>
            </w:r>
            <w:r w:rsidR="00CF16BC" w:rsidRPr="00A00383">
              <w:rPr>
                <w:rFonts w:eastAsiaTheme="minorEastAsia" w:cstheme="minorBidi"/>
                <w:b/>
                <w:noProof/>
                <w:sz w:val="22"/>
                <w:szCs w:val="22"/>
                <w:bdr w:val="none" w:sz="0" w:space="0" w:color="auto"/>
                <w:lang w:eastAsia="es-MX"/>
              </w:rPr>
              <w:tab/>
            </w:r>
            <w:r w:rsidR="00CF16BC" w:rsidRPr="00A00383">
              <w:rPr>
                <w:rStyle w:val="Hipervnculo"/>
                <w:b/>
                <w:noProof/>
              </w:rPr>
              <w:t>Conclusión.</w:t>
            </w:r>
            <w:r w:rsidR="00CF16BC" w:rsidRPr="00A00383">
              <w:rPr>
                <w:b/>
                <w:noProof/>
                <w:webHidden/>
              </w:rPr>
              <w:tab/>
            </w:r>
            <w:r w:rsidR="00CF16BC" w:rsidRPr="00A00383">
              <w:rPr>
                <w:b/>
                <w:noProof/>
                <w:webHidden/>
              </w:rPr>
              <w:fldChar w:fldCharType="begin"/>
            </w:r>
            <w:r w:rsidR="00CF16BC" w:rsidRPr="00A00383">
              <w:rPr>
                <w:b/>
                <w:noProof/>
                <w:webHidden/>
              </w:rPr>
              <w:instrText xml:space="preserve"> PAGEREF _Toc523157562 \h </w:instrText>
            </w:r>
            <w:r w:rsidR="00CF16BC" w:rsidRPr="00A00383">
              <w:rPr>
                <w:b/>
                <w:noProof/>
                <w:webHidden/>
              </w:rPr>
            </w:r>
            <w:r w:rsidR="00CF16BC" w:rsidRPr="00A00383">
              <w:rPr>
                <w:b/>
                <w:noProof/>
                <w:webHidden/>
              </w:rPr>
              <w:fldChar w:fldCharType="separate"/>
            </w:r>
            <w:r w:rsidR="00194198">
              <w:rPr>
                <w:b/>
                <w:noProof/>
                <w:webHidden/>
              </w:rPr>
              <w:t>8</w:t>
            </w:r>
            <w:r w:rsidR="00CF16BC" w:rsidRPr="00A00383">
              <w:rPr>
                <w:b/>
                <w:noProof/>
                <w:webHidden/>
              </w:rPr>
              <w:fldChar w:fldCharType="end"/>
            </w:r>
          </w:hyperlink>
        </w:p>
        <w:p w:rsidR="00A3395D" w:rsidRPr="00A00383" w:rsidRDefault="00B82DF9" w:rsidP="00CF16BC">
          <w:pPr>
            <w:spacing w:line="480" w:lineRule="auto"/>
            <w:rPr>
              <w:rFonts w:ascii="Palatino Linotype" w:hAnsi="Palatino Linotype"/>
              <w:b/>
              <w:bCs/>
              <w:color w:val="000000" w:themeColor="text1"/>
            </w:rPr>
          </w:pPr>
          <w:r w:rsidRPr="00A00383">
            <w:rPr>
              <w:rFonts w:ascii="Palatino Linotype" w:hAnsi="Palatino Linotype"/>
              <w:b/>
              <w:bCs/>
              <w:color w:val="000000" w:themeColor="text1"/>
            </w:rPr>
            <w:fldChar w:fldCharType="end"/>
          </w:r>
        </w:p>
      </w:sdtContent>
    </w:sdt>
    <w:p w:rsidR="000D714D" w:rsidRPr="00A00383" w:rsidRDefault="00A00383" w:rsidP="00A3395D">
      <w:pPr>
        <w:spacing w:line="360" w:lineRule="auto"/>
        <w:rPr>
          <w:rFonts w:ascii="Palatino Linotype" w:hAnsi="Palatino Linotype"/>
          <w:b/>
          <w:bCs/>
          <w:color w:val="000000" w:themeColor="text1"/>
        </w:rPr>
      </w:pPr>
      <w:r w:rsidRPr="00A00383">
        <w:rPr>
          <w:rFonts w:ascii="Palatino Linotype" w:eastAsia="Calibri" w:hAnsi="Palatino Linotype"/>
          <w:noProof/>
          <w:bdr w:val="none" w:sz="0" w:space="0" w:color="auto"/>
          <w:lang w:eastAsia="es-MX"/>
        </w:rPr>
        <mc:AlternateContent>
          <mc:Choice Requires="wps">
            <w:drawing>
              <wp:anchor distT="0" distB="0" distL="114300" distR="114300" simplePos="0" relativeHeight="251661312" behindDoc="0" locked="0" layoutInCell="1" allowOverlap="1" wp14:anchorId="3C466EFC" wp14:editId="751C96AE">
                <wp:simplePos x="0" y="0"/>
                <wp:positionH relativeFrom="column">
                  <wp:posOffset>-99059</wp:posOffset>
                </wp:positionH>
                <wp:positionV relativeFrom="paragraph">
                  <wp:posOffset>54609</wp:posOffset>
                </wp:positionV>
                <wp:extent cx="5486400" cy="37433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86400" cy="3743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C34F4"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3pt" to="424.2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" strokecolor="black [3200]" strokeweight=".5pt">
                <v:stroke joinstyle="miter"/>
              </v:line>
            </w:pict>
          </mc:Fallback>
        </mc:AlternateContent>
      </w: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0D714D" w:rsidRPr="00A00383" w:rsidRDefault="000D714D" w:rsidP="00A3395D">
      <w:pPr>
        <w:spacing w:line="360" w:lineRule="auto"/>
        <w:rPr>
          <w:rFonts w:ascii="Palatino Linotype" w:hAnsi="Palatino Linotype"/>
          <w:b/>
          <w:bCs/>
          <w:color w:val="000000" w:themeColor="text1"/>
        </w:rPr>
      </w:pPr>
    </w:p>
    <w:p w:rsidR="006E2911" w:rsidRPr="00A00383" w:rsidRDefault="006E2911" w:rsidP="00A3395D">
      <w:pPr>
        <w:spacing w:line="360" w:lineRule="auto"/>
        <w:rPr>
          <w:rFonts w:ascii="Palatino Linotype" w:hAnsi="Palatino Linotype"/>
          <w:b/>
          <w:bCs/>
          <w:color w:val="000000" w:themeColor="text1"/>
        </w:rPr>
      </w:pPr>
    </w:p>
    <w:p w:rsidR="006E2911" w:rsidRPr="00A00383" w:rsidRDefault="006E2911" w:rsidP="00A3395D">
      <w:pPr>
        <w:spacing w:line="360" w:lineRule="auto"/>
        <w:rPr>
          <w:rFonts w:ascii="Palatino Linotype" w:hAnsi="Palatino Linotype"/>
          <w:b/>
          <w:bCs/>
          <w:color w:val="000000" w:themeColor="text1"/>
        </w:rPr>
      </w:pPr>
    </w:p>
    <w:p w:rsidR="006E2911" w:rsidRPr="00A00383" w:rsidRDefault="006E2911" w:rsidP="00A3395D">
      <w:pPr>
        <w:spacing w:line="360" w:lineRule="auto"/>
        <w:rPr>
          <w:rFonts w:ascii="Palatino Linotype" w:hAnsi="Palatino Linotype"/>
          <w:b/>
          <w:bCs/>
          <w:color w:val="000000" w:themeColor="text1"/>
        </w:rPr>
      </w:pPr>
    </w:p>
    <w:p w:rsidR="00A3395D" w:rsidRPr="00A00383" w:rsidRDefault="00343467" w:rsidP="003434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Palatino Linotype" w:eastAsiaTheme="majorEastAsia" w:hAnsi="Palatino Linotype" w:cstheme="majorBidi"/>
          <w:b/>
        </w:rPr>
      </w:pPr>
      <w:bookmarkStart w:id="0" w:name="_Toc493504860"/>
      <w:bookmarkStart w:id="1" w:name="_Toc523157559"/>
      <w:r w:rsidRPr="00A00383">
        <w:rPr>
          <w:rFonts w:ascii="Palatino Linotype" w:eastAsiaTheme="majorEastAsia" w:hAnsi="Palatino Linotype" w:cstheme="majorBidi"/>
          <w:b/>
        </w:rPr>
        <w:lastRenderedPageBreak/>
        <w:t xml:space="preserve">I. </w:t>
      </w:r>
      <w:r w:rsidR="00A3395D" w:rsidRPr="00A00383">
        <w:rPr>
          <w:rFonts w:ascii="Palatino Linotype" w:eastAsiaTheme="majorEastAsia" w:hAnsi="Palatino Linotype" w:cstheme="majorBidi"/>
          <w:b/>
        </w:rPr>
        <w:t>Consideraciones Generales</w:t>
      </w:r>
      <w:bookmarkEnd w:id="0"/>
      <w:bookmarkEnd w:id="1"/>
    </w:p>
    <w:p w:rsidR="00A3395D" w:rsidRPr="00A00383" w:rsidRDefault="00A3395D" w:rsidP="00A339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A00383" w:rsidRDefault="007B70C2" w:rsidP="006409B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A00383">
        <w:rPr>
          <w:rFonts w:ascii="Palatino Linotype" w:hAnsi="Palatino Linotype" w:cs="Arial"/>
          <w:color w:val="000000" w:themeColor="text1"/>
        </w:rPr>
        <w:t xml:space="preserve">He concurrido con mi </w:t>
      </w:r>
      <w:r w:rsidRPr="00A00383">
        <w:rPr>
          <w:rFonts w:ascii="Palatino Linotype" w:hAnsi="Palatino Linotype" w:cs="Arial"/>
          <w:b/>
          <w:color w:val="000000" w:themeColor="text1"/>
        </w:rPr>
        <w:t>voto disidente</w:t>
      </w:r>
      <w:r w:rsidRPr="00A00383">
        <w:rPr>
          <w:rFonts w:ascii="Palatino Linotype" w:hAnsi="Palatino Linotype" w:cs="Arial"/>
          <w:color w:val="000000" w:themeColor="text1"/>
        </w:rPr>
        <w:t xml:space="preserve"> de la presente resolución emitida por el Pleno del Instituto de Transparencia, Acceso a la Información Pública y Protección de Datos Personales del Estado de México y Municipios, </w:t>
      </w:r>
      <w:r w:rsidR="006409B3" w:rsidRPr="00A00383">
        <w:rPr>
          <w:rFonts w:ascii="Palatino Linotype" w:hAnsi="Palatino Linotype" w:cs="Arial"/>
          <w:color w:val="000000" w:themeColor="text1"/>
        </w:rPr>
        <w:t xml:space="preserve">en su </w:t>
      </w:r>
      <w:r w:rsidR="005A09A1" w:rsidRPr="00A00383">
        <w:rPr>
          <w:rFonts w:ascii="Palatino Linotype" w:hAnsi="Palatino Linotype" w:cs="Arial"/>
        </w:rPr>
        <w:t>Décimo</w:t>
      </w:r>
      <w:r w:rsidR="006409B3" w:rsidRPr="00A00383">
        <w:rPr>
          <w:rFonts w:ascii="Palatino Linotype" w:hAnsi="Palatino Linotype" w:cs="Arial"/>
        </w:rPr>
        <w:t xml:space="preserve"> </w:t>
      </w:r>
      <w:r w:rsidR="009332A7" w:rsidRPr="00A00383">
        <w:rPr>
          <w:rFonts w:ascii="Palatino Linotype" w:hAnsi="Palatino Linotype" w:cs="Arial"/>
        </w:rPr>
        <w:t>Trigésima</w:t>
      </w:r>
      <w:r w:rsidR="007A4E77" w:rsidRPr="00A00383">
        <w:rPr>
          <w:rFonts w:ascii="Palatino Linotype" w:hAnsi="Palatino Linotype" w:cs="Arial"/>
          <w:color w:val="000000" w:themeColor="text1"/>
        </w:rPr>
        <w:t xml:space="preserve"> </w:t>
      </w:r>
      <w:r w:rsidRPr="00A00383">
        <w:rPr>
          <w:rFonts w:ascii="Palatino Linotype" w:hAnsi="Palatino Linotype" w:cs="Arial"/>
          <w:color w:val="000000" w:themeColor="text1"/>
        </w:rPr>
        <w:t xml:space="preserve">sesión ordinaria </w:t>
      </w:r>
      <w:r w:rsidR="00FC0B18" w:rsidRPr="00A00383">
        <w:rPr>
          <w:rFonts w:ascii="Palatino Linotype" w:hAnsi="Palatino Linotype" w:cs="Arial"/>
          <w:color w:val="000000" w:themeColor="text1"/>
        </w:rPr>
        <w:t>celebrada el día</w:t>
      </w:r>
      <w:r w:rsidR="007A4E77" w:rsidRPr="00A00383">
        <w:rPr>
          <w:rFonts w:ascii="Palatino Linotype" w:hAnsi="Palatino Linotype" w:cs="Arial"/>
          <w:color w:val="000000" w:themeColor="text1"/>
        </w:rPr>
        <w:t xml:space="preserve"> </w:t>
      </w:r>
      <w:r w:rsidR="009332A7" w:rsidRPr="00A00383">
        <w:rPr>
          <w:rFonts w:ascii="Palatino Linotype" w:hAnsi="Palatino Linotype" w:cs="Arial"/>
          <w:color w:val="000000" w:themeColor="text1"/>
        </w:rPr>
        <w:t>veintidós</w:t>
      </w:r>
      <w:r w:rsidR="007A4E77" w:rsidRPr="00A00383">
        <w:rPr>
          <w:rFonts w:ascii="Palatino Linotype" w:hAnsi="Palatino Linotype" w:cs="Arial"/>
          <w:color w:val="000000" w:themeColor="text1"/>
        </w:rPr>
        <w:t xml:space="preserve"> (</w:t>
      </w:r>
      <w:r w:rsidR="009332A7" w:rsidRPr="00A00383">
        <w:rPr>
          <w:rFonts w:ascii="Palatino Linotype" w:hAnsi="Palatino Linotype" w:cs="Arial"/>
          <w:color w:val="000000" w:themeColor="text1"/>
        </w:rPr>
        <w:t>22</w:t>
      </w:r>
      <w:r w:rsidR="007A4E77" w:rsidRPr="00A00383">
        <w:rPr>
          <w:rFonts w:ascii="Palatino Linotype" w:hAnsi="Palatino Linotype" w:cs="Arial"/>
          <w:color w:val="000000" w:themeColor="text1"/>
        </w:rPr>
        <w:t>) de</w:t>
      </w:r>
      <w:r w:rsidR="009332A7" w:rsidRPr="00A00383">
        <w:rPr>
          <w:rFonts w:ascii="Palatino Linotype" w:hAnsi="Palatino Linotype" w:cs="Arial"/>
          <w:color w:val="000000" w:themeColor="text1"/>
        </w:rPr>
        <w:t xml:space="preserve"> agosto</w:t>
      </w:r>
      <w:r w:rsidRPr="00A00383">
        <w:rPr>
          <w:rFonts w:ascii="Palatino Linotype" w:hAnsi="Palatino Linotype" w:cs="Arial"/>
          <w:color w:val="000000" w:themeColor="text1"/>
        </w:rPr>
        <w:t xml:space="preserve"> de dos mil dieci</w:t>
      </w:r>
      <w:r w:rsidR="00DE7DF6" w:rsidRPr="00A00383">
        <w:rPr>
          <w:rFonts w:ascii="Palatino Linotype" w:hAnsi="Palatino Linotype" w:cs="Arial"/>
          <w:color w:val="000000" w:themeColor="text1"/>
        </w:rPr>
        <w:t>ocho</w:t>
      </w:r>
      <w:r w:rsidRPr="00A00383">
        <w:rPr>
          <w:rFonts w:ascii="Palatino Linotype" w:hAnsi="Palatino Linotype" w:cs="Arial"/>
          <w:color w:val="000000" w:themeColor="text1"/>
        </w:rPr>
        <w:t xml:space="preserve">, en </w:t>
      </w:r>
      <w:r w:rsidR="003503B0" w:rsidRPr="00A00383">
        <w:rPr>
          <w:rFonts w:ascii="Palatino Linotype" w:hAnsi="Palatino Linotype" w:cs="Arial"/>
          <w:color w:val="000000" w:themeColor="text1"/>
        </w:rPr>
        <w:t>el recurso de revisión promovido</w:t>
      </w:r>
      <w:r w:rsidRPr="00A00383">
        <w:rPr>
          <w:rFonts w:ascii="Palatino Linotype" w:hAnsi="Palatino Linotype" w:cs="Arial"/>
          <w:color w:val="000000" w:themeColor="text1"/>
        </w:rPr>
        <w:t xml:space="preserve"> por</w:t>
      </w:r>
      <w:r w:rsidRPr="00A00383">
        <w:rPr>
          <w:rFonts w:ascii="Palatino Linotype" w:hAnsi="Palatino Linotype" w:cs="Arial"/>
          <w:b/>
          <w:color w:val="000000" w:themeColor="text1"/>
        </w:rPr>
        <w:t xml:space="preserve"> </w:t>
      </w:r>
      <w:r w:rsidR="00492DE4">
        <w:rPr>
          <w:rFonts w:ascii="Palatino Linotype" w:hAnsi="Palatino Linotype" w:cs="Arial"/>
          <w:b/>
          <w:color w:val="000000" w:themeColor="text1"/>
        </w:rPr>
        <w:t>**** **** ****</w:t>
      </w:r>
      <w:r w:rsidR="001E2F7E" w:rsidRPr="00A00383">
        <w:rPr>
          <w:rFonts w:ascii="Palatino Linotype" w:hAnsi="Palatino Linotype" w:cs="Arial"/>
          <w:color w:val="000000" w:themeColor="text1"/>
        </w:rPr>
        <w:t>,</w:t>
      </w:r>
      <w:r w:rsidR="00D976D8" w:rsidRPr="00A00383">
        <w:rPr>
          <w:rFonts w:ascii="Palatino Linotype" w:hAnsi="Palatino Linotype" w:cs="Arial"/>
          <w:color w:val="000000" w:themeColor="text1"/>
        </w:rPr>
        <w:t xml:space="preserve"> </w:t>
      </w:r>
      <w:r w:rsidRPr="00A00383">
        <w:rPr>
          <w:rFonts w:ascii="Palatino Linotype" w:hAnsi="Palatino Linotype" w:cs="Arial"/>
          <w:color w:val="000000" w:themeColor="text1"/>
        </w:rPr>
        <w:t xml:space="preserve">procedimiento al que se asignó el número de expediente </w:t>
      </w:r>
      <w:r w:rsidR="009332A7" w:rsidRPr="00A00383">
        <w:rPr>
          <w:rFonts w:ascii="Palatino Linotype" w:hAnsi="Palatino Linotype" w:cs="Arial"/>
          <w:b/>
          <w:bCs/>
          <w:color w:val="000000" w:themeColor="text1"/>
        </w:rPr>
        <w:t>02466/INFOEM/IP/RR/2018</w:t>
      </w:r>
      <w:r w:rsidR="00A527F0" w:rsidRPr="00A00383">
        <w:rPr>
          <w:rFonts w:ascii="Palatino Linotype" w:hAnsi="Palatino Linotype" w:cs="Arial"/>
          <w:b/>
          <w:bCs/>
          <w:color w:val="000000" w:themeColor="text1"/>
        </w:rPr>
        <w:t>.</w:t>
      </w:r>
    </w:p>
    <w:p w:rsidR="003331EE" w:rsidRPr="00A00383" w:rsidRDefault="003331EE" w:rsidP="003331E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A00383" w:rsidRDefault="00FC148F" w:rsidP="00B70A00">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84"/>
        <w:jc w:val="both"/>
        <w:rPr>
          <w:rFonts w:ascii="Palatino Linotype" w:hAnsi="Palatino Linotype" w:cs="Arial"/>
          <w:color w:val="000000" w:themeColor="text1"/>
        </w:rPr>
      </w:pPr>
      <w:r w:rsidRPr="00A00383">
        <w:rPr>
          <w:rFonts w:ascii="Palatino Linotype" w:eastAsia="Calibri" w:hAnsi="Palatino Linotype" w:cs="Arial"/>
        </w:rPr>
        <w:t>Lo anterior,</w:t>
      </w:r>
      <w:r w:rsidR="003331EE" w:rsidRPr="00A00383">
        <w:rPr>
          <w:rFonts w:ascii="Palatino Linotype" w:eastAsia="Calibri" w:hAnsi="Palatino Linotype" w:cs="Arial"/>
        </w:rPr>
        <w:t xml:space="preserve"> deriva </w:t>
      </w:r>
      <w:r w:rsidRPr="00A00383">
        <w:rPr>
          <w:rFonts w:ascii="Palatino Linotype" w:eastAsia="Calibri" w:hAnsi="Palatino Linotype" w:cs="Arial"/>
        </w:rPr>
        <w:t>en virtud</w:t>
      </w:r>
      <w:r w:rsidR="003331EE" w:rsidRPr="00A00383">
        <w:rPr>
          <w:rFonts w:ascii="Palatino Linotype" w:eastAsia="Calibri" w:hAnsi="Palatino Linotype" w:cs="Arial"/>
        </w:rPr>
        <w:t xml:space="preserve"> que en l</w:t>
      </w:r>
      <w:r w:rsidR="00A3395D" w:rsidRPr="00A00383">
        <w:rPr>
          <w:rFonts w:ascii="Palatino Linotype" w:eastAsia="Calibri" w:hAnsi="Palatino Linotype" w:cs="Arial"/>
        </w:rPr>
        <w:t xml:space="preserve">a resolución </w:t>
      </w:r>
      <w:r w:rsidR="000D714D" w:rsidRPr="00A00383">
        <w:rPr>
          <w:rFonts w:ascii="Palatino Linotype" w:eastAsia="Calibri" w:hAnsi="Palatino Linotype" w:cs="Arial"/>
        </w:rPr>
        <w:t>de mérito, se</w:t>
      </w:r>
      <w:r w:rsidRPr="00A00383">
        <w:rPr>
          <w:rFonts w:ascii="Palatino Linotype" w:eastAsia="Calibri" w:hAnsi="Palatino Linotype" w:cs="Arial"/>
        </w:rPr>
        <w:t xml:space="preserve"> determina </w:t>
      </w:r>
      <w:r w:rsidR="00DE7DF6" w:rsidRPr="00A00383">
        <w:rPr>
          <w:rFonts w:ascii="Palatino Linotype" w:eastAsia="Calibri" w:hAnsi="Palatino Linotype" w:cs="Arial"/>
        </w:rPr>
        <w:t>modificar</w:t>
      </w:r>
      <w:r w:rsidR="00A3395D" w:rsidRPr="00A00383">
        <w:rPr>
          <w:rFonts w:ascii="Palatino Linotype" w:eastAsia="Calibri" w:hAnsi="Palatino Linotype" w:cs="Arial"/>
        </w:rPr>
        <w:t xml:space="preserve"> </w:t>
      </w:r>
      <w:r w:rsidR="003503B0" w:rsidRPr="00A00383">
        <w:rPr>
          <w:rFonts w:ascii="Palatino Linotype" w:eastAsia="Calibri" w:hAnsi="Palatino Linotype" w:cs="Arial"/>
        </w:rPr>
        <w:t xml:space="preserve">la respuesta otorgada en </w:t>
      </w:r>
      <w:r w:rsidR="00A3395D" w:rsidRPr="00A00383">
        <w:rPr>
          <w:rFonts w:ascii="Palatino Linotype" w:eastAsia="Calibri" w:hAnsi="Palatino Linotype" w:cs="Arial"/>
        </w:rPr>
        <w:t xml:space="preserve">el </w:t>
      </w:r>
      <w:r w:rsidR="003503B0" w:rsidRPr="00A00383">
        <w:rPr>
          <w:rFonts w:ascii="Palatino Linotype" w:eastAsia="Calibri" w:hAnsi="Palatino Linotype" w:cs="Arial"/>
        </w:rPr>
        <w:t>citado recurso de revisión,</w:t>
      </w:r>
      <w:r w:rsidR="00A3395D" w:rsidRPr="00A00383">
        <w:rPr>
          <w:rFonts w:ascii="Palatino Linotype" w:hAnsi="Palatino Linotype" w:cs="Arial"/>
          <w:b/>
          <w:bCs/>
          <w:color w:val="000000" w:themeColor="text1"/>
        </w:rPr>
        <w:t xml:space="preserve"> </w:t>
      </w:r>
      <w:r w:rsidR="000D714D" w:rsidRPr="00A00383">
        <w:rPr>
          <w:rFonts w:ascii="Palatino Linotype" w:hAnsi="Palatino Linotype" w:cs="Arial"/>
          <w:bCs/>
          <w:color w:val="000000" w:themeColor="text1"/>
        </w:rPr>
        <w:t>en términos de</w:t>
      </w:r>
      <w:r w:rsidR="00A3395D" w:rsidRPr="00A00383">
        <w:rPr>
          <w:rFonts w:ascii="Palatino Linotype" w:hAnsi="Palatino Linotype" w:cs="Arial"/>
          <w:bCs/>
          <w:color w:val="000000" w:themeColor="text1"/>
        </w:rPr>
        <w:t xml:space="preserve"> </w:t>
      </w:r>
      <w:r w:rsidR="000D714D" w:rsidRPr="00A00383">
        <w:rPr>
          <w:rFonts w:ascii="Palatino Linotype" w:hAnsi="Palatino Linotype" w:cs="Arial"/>
          <w:bCs/>
          <w:color w:val="000000" w:themeColor="text1"/>
        </w:rPr>
        <w:t xml:space="preserve">su </w:t>
      </w:r>
      <w:r w:rsidR="003503B0" w:rsidRPr="00A00383">
        <w:rPr>
          <w:rFonts w:ascii="Palatino Linotype" w:hAnsi="Palatino Linotype" w:cs="Arial"/>
          <w:bCs/>
          <w:color w:val="000000" w:themeColor="text1"/>
        </w:rPr>
        <w:t>C</w:t>
      </w:r>
      <w:r w:rsidR="00A3395D" w:rsidRPr="00A00383">
        <w:rPr>
          <w:rFonts w:ascii="Palatino Linotype" w:hAnsi="Palatino Linotype" w:cs="Arial"/>
          <w:bCs/>
          <w:color w:val="000000" w:themeColor="text1"/>
        </w:rPr>
        <w:t xml:space="preserve">onsiderando </w:t>
      </w:r>
      <w:r w:rsidR="003503B0" w:rsidRPr="00A00383">
        <w:rPr>
          <w:rFonts w:ascii="Palatino Linotype" w:hAnsi="Palatino Linotype" w:cs="Arial"/>
          <w:bCs/>
          <w:color w:val="000000" w:themeColor="text1"/>
        </w:rPr>
        <w:t>Q</w:t>
      </w:r>
      <w:r w:rsidR="000D714D" w:rsidRPr="00A00383">
        <w:rPr>
          <w:rFonts w:ascii="Palatino Linotype" w:hAnsi="Palatino Linotype" w:cs="Arial"/>
          <w:bCs/>
          <w:color w:val="000000" w:themeColor="text1"/>
        </w:rPr>
        <w:t>uinto</w:t>
      </w:r>
      <w:r w:rsidRPr="00A00383">
        <w:rPr>
          <w:rFonts w:ascii="Palatino Linotype" w:hAnsi="Palatino Linotype" w:cs="Arial"/>
          <w:bCs/>
          <w:color w:val="000000" w:themeColor="text1"/>
        </w:rPr>
        <w:t xml:space="preserve">, </w:t>
      </w:r>
      <w:r w:rsidR="000D714D" w:rsidRPr="00A00383">
        <w:rPr>
          <w:rFonts w:ascii="Palatino Linotype" w:hAnsi="Palatino Linotype" w:cs="Arial"/>
          <w:bCs/>
          <w:color w:val="000000" w:themeColor="text1"/>
        </w:rPr>
        <w:t xml:space="preserve">en </w:t>
      </w:r>
      <w:r w:rsidRPr="00A00383">
        <w:rPr>
          <w:rFonts w:ascii="Palatino Linotype" w:hAnsi="Palatino Linotype" w:cs="Arial"/>
          <w:bCs/>
          <w:color w:val="000000" w:themeColor="text1"/>
        </w:rPr>
        <w:t>el</w:t>
      </w:r>
      <w:r w:rsidR="00C96160" w:rsidRPr="00A00383">
        <w:rPr>
          <w:rFonts w:ascii="Palatino Linotype" w:hAnsi="Palatino Linotype" w:cs="Arial"/>
          <w:bCs/>
          <w:color w:val="000000" w:themeColor="text1"/>
        </w:rPr>
        <w:t xml:space="preserve"> cual la ponencia </w:t>
      </w:r>
      <w:proofErr w:type="spellStart"/>
      <w:r w:rsidR="003503B0" w:rsidRPr="00A00383">
        <w:rPr>
          <w:rFonts w:ascii="Palatino Linotype" w:hAnsi="Palatino Linotype" w:cs="Arial"/>
          <w:bCs/>
          <w:color w:val="000000" w:themeColor="text1"/>
        </w:rPr>
        <w:t>resolutora</w:t>
      </w:r>
      <w:proofErr w:type="spellEnd"/>
      <w:r w:rsidR="003503B0" w:rsidRPr="00A00383">
        <w:rPr>
          <w:rFonts w:ascii="Palatino Linotype" w:hAnsi="Palatino Linotype" w:cs="Arial"/>
          <w:bCs/>
          <w:color w:val="000000" w:themeColor="text1"/>
        </w:rPr>
        <w:t xml:space="preserve"> determina</w:t>
      </w:r>
      <w:r w:rsidR="00C96160" w:rsidRPr="00A00383">
        <w:rPr>
          <w:rFonts w:ascii="Palatino Linotype" w:hAnsi="Palatino Linotype" w:cs="Arial"/>
          <w:bCs/>
          <w:color w:val="000000" w:themeColor="text1"/>
        </w:rPr>
        <w:t xml:space="preserve"> </w:t>
      </w:r>
      <w:r w:rsidR="00DE7DF6" w:rsidRPr="00A00383">
        <w:rPr>
          <w:rFonts w:ascii="Palatino Linotype" w:hAnsi="Palatino Linotype" w:cs="Arial"/>
          <w:bCs/>
          <w:color w:val="000000" w:themeColor="text1"/>
        </w:rPr>
        <w:t>ordena</w:t>
      </w:r>
      <w:r w:rsidR="003503B0" w:rsidRPr="00A00383">
        <w:rPr>
          <w:rFonts w:ascii="Palatino Linotype" w:hAnsi="Palatino Linotype" w:cs="Arial"/>
          <w:bCs/>
          <w:color w:val="000000" w:themeColor="text1"/>
        </w:rPr>
        <w:t>r</w:t>
      </w:r>
      <w:r w:rsidR="00DE7DF6" w:rsidRPr="00A00383">
        <w:rPr>
          <w:rFonts w:ascii="Palatino Linotype" w:hAnsi="Palatino Linotype" w:cs="Arial"/>
          <w:bCs/>
          <w:color w:val="000000" w:themeColor="text1"/>
        </w:rPr>
        <w:t xml:space="preserve"> el </w:t>
      </w:r>
      <w:r w:rsidR="000D714D" w:rsidRPr="00A00383">
        <w:rPr>
          <w:rFonts w:ascii="Palatino Linotype" w:hAnsi="Palatino Linotype" w:cs="Arial"/>
          <w:bCs/>
          <w:color w:val="000000" w:themeColor="text1"/>
        </w:rPr>
        <w:t>a</w:t>
      </w:r>
      <w:r w:rsidR="00DE7DF6" w:rsidRPr="00A00383">
        <w:rPr>
          <w:rFonts w:ascii="Palatino Linotype" w:hAnsi="Palatino Linotype" w:cs="Arial"/>
          <w:bCs/>
          <w:color w:val="000000" w:themeColor="text1"/>
        </w:rPr>
        <w:t xml:space="preserve">cuerdo que emita el Comité de Transparencia mediante el que confirme la declaratoria de incompetencia del </w:t>
      </w:r>
      <w:r w:rsidR="00266515" w:rsidRPr="00A00383">
        <w:rPr>
          <w:rFonts w:ascii="Palatino Linotype" w:hAnsi="Palatino Linotype" w:cs="Arial"/>
          <w:bCs/>
          <w:color w:val="000000" w:themeColor="text1"/>
        </w:rPr>
        <w:t xml:space="preserve">Sujeto Obligado </w:t>
      </w:r>
      <w:r w:rsidR="00DE7DF6" w:rsidRPr="00A00383">
        <w:rPr>
          <w:rFonts w:ascii="Palatino Linotype" w:hAnsi="Palatino Linotype" w:cs="Arial"/>
          <w:bCs/>
          <w:color w:val="000000" w:themeColor="text1"/>
        </w:rPr>
        <w:t>respecto de la información solicitada</w:t>
      </w:r>
      <w:r w:rsidR="00CB19F7" w:rsidRPr="00A00383">
        <w:rPr>
          <w:rFonts w:ascii="Palatino Linotype" w:hAnsi="Palatino Linotype"/>
          <w:szCs w:val="17"/>
          <w:lang w:eastAsia="es-ES_tradnl"/>
        </w:rPr>
        <w:t>,</w:t>
      </w:r>
      <w:r w:rsidR="00266515" w:rsidRPr="00A00383">
        <w:rPr>
          <w:rFonts w:ascii="Palatino Linotype" w:hAnsi="Palatino Linotype"/>
          <w:szCs w:val="17"/>
          <w:lang w:eastAsia="es-ES_tradnl"/>
        </w:rPr>
        <w:t xml:space="preserve"> dada</w:t>
      </w:r>
      <w:r w:rsidR="00266515" w:rsidRPr="00A00383">
        <w:rPr>
          <w:rFonts w:ascii="Palatino Linotype" w:eastAsia="Calibri" w:hAnsi="Palatino Linotype" w:cs="Arial"/>
        </w:rPr>
        <w:t xml:space="preserve"> la incompetencia declarada por el Titular de la Unidad de Transparencia</w:t>
      </w:r>
      <w:r w:rsidR="00CB19F7" w:rsidRPr="00A00383">
        <w:rPr>
          <w:rFonts w:ascii="Palatino Linotype" w:hAnsi="Palatino Linotype" w:cs="Arial"/>
          <w:color w:val="000000" w:themeColor="text1"/>
        </w:rPr>
        <w:t xml:space="preserve"> </w:t>
      </w:r>
      <w:r w:rsidR="00266515" w:rsidRPr="00A00383">
        <w:rPr>
          <w:rFonts w:ascii="Palatino Linotype" w:hAnsi="Palatino Linotype" w:cs="Arial"/>
          <w:color w:val="000000" w:themeColor="text1"/>
        </w:rPr>
        <w:t xml:space="preserve">en la primigenia respuesta, </w:t>
      </w:r>
      <w:r w:rsidR="000D714D" w:rsidRPr="00A00383">
        <w:rPr>
          <w:rFonts w:ascii="Palatino Linotype" w:hAnsi="Palatino Linotype" w:cs="Arial"/>
          <w:color w:val="000000" w:themeColor="text1"/>
        </w:rPr>
        <w:t>razonamiento del que me aparto, p</w:t>
      </w:r>
      <w:r w:rsidR="007B70C2" w:rsidRPr="00A00383">
        <w:rPr>
          <w:rFonts w:ascii="Palatino Linotype" w:hAnsi="Palatino Linotype" w:cs="Arial"/>
          <w:color w:val="000000" w:themeColor="text1"/>
        </w:rPr>
        <w:t xml:space="preserve">or los motivos y las razones de hecho y de derecho que se señalan a continuación y en términos de lo señalado por </w:t>
      </w:r>
      <w:r w:rsidR="00E12C1D" w:rsidRPr="00A00383">
        <w:rPr>
          <w:rFonts w:ascii="Palatino Linotype" w:hAnsi="Palatino Linotype" w:cs="Arial"/>
          <w:color w:val="000000" w:themeColor="text1"/>
        </w:rPr>
        <w:t>el</w:t>
      </w:r>
      <w:r w:rsidR="007B70C2" w:rsidRPr="00A00383">
        <w:rPr>
          <w:rFonts w:ascii="Palatino Linotype" w:hAnsi="Palatino Linotype" w:cs="Arial"/>
          <w:color w:val="000000" w:themeColor="text1"/>
        </w:rPr>
        <w:t xml:space="preserve"> </w:t>
      </w:r>
      <w:r w:rsidR="00E12C1D" w:rsidRPr="00A00383">
        <w:rPr>
          <w:rFonts w:ascii="Palatino Linotype" w:hAnsi="Palatino Linotype" w:cs="Arial"/>
          <w:color w:val="000000" w:themeColor="text1"/>
        </w:rPr>
        <w:t>artículo</w:t>
      </w:r>
      <w:r w:rsidR="007B70C2" w:rsidRPr="00A00383">
        <w:rPr>
          <w:rFonts w:ascii="Palatino Linotype" w:hAnsi="Palatino Linotype" w:cs="Arial"/>
          <w:color w:val="000000" w:themeColor="text1"/>
        </w:rPr>
        <w:t xml:space="preserve"> </w:t>
      </w:r>
      <w:r w:rsidR="00E12C1D" w:rsidRPr="00A00383">
        <w:rPr>
          <w:rFonts w:ascii="Palatino Linotype" w:hAnsi="Palatino Linotype" w:cs="Arial"/>
          <w:color w:val="000000" w:themeColor="text1"/>
        </w:rPr>
        <w:t>14</w:t>
      </w:r>
      <w:r w:rsidR="007B70C2" w:rsidRPr="00A00383">
        <w:rPr>
          <w:rFonts w:ascii="Palatino Linotype" w:hAnsi="Palatino Linotype" w:cs="Arial"/>
          <w:color w:val="000000" w:themeColor="text1"/>
        </w:rPr>
        <w:t xml:space="preserve"> fracción </w:t>
      </w:r>
      <w:r w:rsidR="00E12C1D" w:rsidRPr="00A00383">
        <w:rPr>
          <w:rFonts w:ascii="Palatino Linotype" w:hAnsi="Palatino Linotype" w:cs="Arial"/>
          <w:color w:val="000000" w:themeColor="text1"/>
        </w:rPr>
        <w:t>XI</w:t>
      </w:r>
      <w:r w:rsidR="007B70C2" w:rsidRPr="00A00383">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A00383">
        <w:rPr>
          <w:rFonts w:ascii="Palatino Linotype" w:hAnsi="Palatino Linotype" w:cs="Arial"/>
          <w:color w:val="000000" w:themeColor="text1"/>
        </w:rPr>
        <w:t>,</w:t>
      </w:r>
      <w:r w:rsidR="007B70C2" w:rsidRPr="00A00383">
        <w:rPr>
          <w:rFonts w:ascii="Palatino Linotype" w:hAnsi="Palatino Linotype" w:cs="Arial"/>
          <w:color w:val="000000" w:themeColor="text1"/>
        </w:rPr>
        <w:t xml:space="preserve"> formulo el presente voto disidente. </w:t>
      </w:r>
    </w:p>
    <w:p w:rsidR="007B70C2" w:rsidRPr="00A00383" w:rsidRDefault="007B70C2" w:rsidP="00FB534E">
      <w:pPr>
        <w:spacing w:line="360" w:lineRule="auto"/>
        <w:jc w:val="both"/>
        <w:rPr>
          <w:rFonts w:ascii="Palatino Linotype" w:hAnsi="Palatino Linotype" w:cs="Arial"/>
          <w:color w:val="000000" w:themeColor="text1"/>
          <w:lang w:val="es-ES"/>
        </w:rPr>
      </w:pPr>
    </w:p>
    <w:p w:rsidR="00FC0B18" w:rsidRPr="00A00383" w:rsidRDefault="007B70C2" w:rsidP="00D74377">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A00383">
        <w:rPr>
          <w:rFonts w:ascii="Palatino Linotype" w:hAnsi="Palatino Linotype" w:cs="Arial"/>
          <w:color w:val="000000" w:themeColor="text1"/>
          <w:lang w:val="es-ES"/>
        </w:rPr>
        <w:lastRenderedPageBreak/>
        <w:t>Al presentar este voto disidente deseo manifestar lo que en su momento señalé durante la discusión de esta res</w:t>
      </w:r>
      <w:r w:rsidR="00FC0B18" w:rsidRPr="00A00383">
        <w:rPr>
          <w:rFonts w:ascii="Palatino Linotype" w:hAnsi="Palatino Linotype" w:cs="Arial"/>
          <w:color w:val="000000" w:themeColor="text1"/>
          <w:lang w:val="es-ES"/>
        </w:rPr>
        <w:t>olución</w:t>
      </w:r>
      <w:r w:rsidR="007A4E77" w:rsidRPr="00A00383">
        <w:rPr>
          <w:rFonts w:ascii="Palatino Linotype" w:hAnsi="Palatino Linotype" w:cs="Arial"/>
          <w:color w:val="000000" w:themeColor="text1"/>
          <w:lang w:val="es-ES"/>
        </w:rPr>
        <w:t xml:space="preserve"> en el Pleno de este órgano Garante, e</w:t>
      </w:r>
      <w:r w:rsidR="00FC0B18" w:rsidRPr="00A00383">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A00383">
        <w:rPr>
          <w:rFonts w:ascii="Palatino Linotype" w:hAnsi="Palatino Linotype" w:cs="Arial"/>
          <w:color w:val="000000" w:themeColor="text1"/>
          <w:lang w:val="es-ES"/>
        </w:rPr>
        <w:t>P</w:t>
      </w:r>
      <w:r w:rsidR="00FC0B18" w:rsidRPr="00A00383">
        <w:rPr>
          <w:rFonts w:ascii="Palatino Linotype" w:hAnsi="Palatino Linotype" w:cs="Arial"/>
          <w:color w:val="000000" w:themeColor="text1"/>
          <w:lang w:val="es-ES"/>
        </w:rPr>
        <w:t xml:space="preserve">leno, en el sentido </w:t>
      </w:r>
      <w:r w:rsidR="00343467" w:rsidRPr="00A00383">
        <w:rPr>
          <w:rFonts w:ascii="Palatino Linotype" w:hAnsi="Palatino Linotype" w:cs="Arial"/>
          <w:color w:val="000000" w:themeColor="text1"/>
          <w:lang w:val="es-ES"/>
        </w:rPr>
        <w:t xml:space="preserve">y razonamientos </w:t>
      </w:r>
      <w:r w:rsidR="00FC0B18" w:rsidRPr="00A00383">
        <w:rPr>
          <w:rFonts w:ascii="Palatino Linotype" w:hAnsi="Palatino Linotype" w:cs="Arial"/>
          <w:color w:val="000000" w:themeColor="text1"/>
          <w:lang w:val="es-ES"/>
        </w:rPr>
        <w:t>de la resol</w:t>
      </w:r>
      <w:r w:rsidR="000D714D" w:rsidRPr="00A00383">
        <w:rPr>
          <w:rFonts w:ascii="Palatino Linotype" w:hAnsi="Palatino Linotype" w:cs="Arial"/>
          <w:color w:val="000000" w:themeColor="text1"/>
          <w:lang w:val="es-ES"/>
        </w:rPr>
        <w:t>ución del recurso de revisión</w:t>
      </w:r>
      <w:r w:rsidR="00FC0B18" w:rsidRPr="00A00383">
        <w:rPr>
          <w:rFonts w:ascii="Palatino Linotype" w:hAnsi="Palatino Linotype" w:cs="Arial"/>
          <w:color w:val="000000" w:themeColor="text1"/>
          <w:lang w:val="es-ES"/>
        </w:rPr>
        <w:t xml:space="preserve"> registrado con el número </w:t>
      </w:r>
      <w:r w:rsidR="000D714D" w:rsidRPr="00A00383">
        <w:rPr>
          <w:rFonts w:ascii="Palatino Linotype" w:hAnsi="Palatino Linotype" w:cs="Arial"/>
          <w:color w:val="000000" w:themeColor="text1"/>
          <w:lang w:val="es-ES"/>
        </w:rPr>
        <w:t>de expediente al rubro indicado, por las consideraciones que se plasman en los párrafos siguientes.</w:t>
      </w:r>
    </w:p>
    <w:p w:rsidR="00864D58" w:rsidRPr="00A00383" w:rsidRDefault="00864D58" w:rsidP="00864D5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rPr>
      </w:pPr>
    </w:p>
    <w:p w:rsidR="00CF16BC" w:rsidRPr="00A00383" w:rsidRDefault="00CF16BC" w:rsidP="00864D5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rPr>
      </w:pPr>
    </w:p>
    <w:p w:rsidR="00A410B3" w:rsidRPr="00A00383" w:rsidRDefault="00A410B3" w:rsidP="00CF16BC">
      <w:pPr>
        <w:pStyle w:val="Ttulo1"/>
      </w:pPr>
      <w:bookmarkStart w:id="2" w:name="_Toc473810012"/>
      <w:bookmarkStart w:id="3" w:name="_Toc523157560"/>
      <w:bookmarkStart w:id="4" w:name="_Toc472594392"/>
      <w:bookmarkStart w:id="5" w:name="_Toc485911590"/>
      <w:r w:rsidRPr="00A00383">
        <w:t>De los requerimientos planteados en el recurso de revisión.</w:t>
      </w:r>
      <w:bookmarkEnd w:id="2"/>
      <w:bookmarkEnd w:id="3"/>
    </w:p>
    <w:p w:rsidR="00A410B3" w:rsidRPr="00A00383" w:rsidRDefault="00A410B3" w:rsidP="00A410B3">
      <w:pPr>
        <w:pStyle w:val="Prrafodelista"/>
        <w:spacing w:line="360" w:lineRule="auto"/>
        <w:ind w:left="1080"/>
        <w:jc w:val="both"/>
        <w:rPr>
          <w:rFonts w:ascii="Palatino Linotype" w:hAnsi="Palatino Linotype" w:cs="Arial"/>
          <w:b/>
        </w:rPr>
      </w:pPr>
    </w:p>
    <w:p w:rsidR="00A410B3" w:rsidRPr="00A00383" w:rsidRDefault="00C648C5" w:rsidP="006E2911">
      <w:pPr>
        <w:pStyle w:val="Prrafode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eastAsia="Times New Roman" w:hAnsi="Palatino Linotype" w:cs="Arial"/>
        </w:rPr>
      </w:pPr>
      <w:r w:rsidRPr="00A00383">
        <w:rPr>
          <w:rFonts w:ascii="Palatino Linotype" w:hAnsi="Palatino Linotype" w:cs="Arial"/>
        </w:rPr>
        <w:t>La señora</w:t>
      </w:r>
      <w:r w:rsidR="00A410B3" w:rsidRPr="00A00383">
        <w:rPr>
          <w:rFonts w:ascii="Palatino Linotype" w:hAnsi="Palatino Linotype" w:cs="Arial"/>
        </w:rPr>
        <w:t xml:space="preserve"> </w:t>
      </w:r>
      <w:r w:rsidR="00492DE4">
        <w:rPr>
          <w:rFonts w:ascii="Palatino Linotype" w:hAnsi="Palatino Linotype" w:cs="Arial"/>
          <w:b/>
        </w:rPr>
        <w:t>**** **** ****</w:t>
      </w:r>
      <w:bookmarkStart w:id="6" w:name="_GoBack"/>
      <w:bookmarkEnd w:id="6"/>
      <w:r w:rsidR="00A410B3" w:rsidRPr="00A00383">
        <w:rPr>
          <w:rFonts w:ascii="Palatino Linotype" w:hAnsi="Palatino Linotype" w:cs="Arial"/>
        </w:rPr>
        <w:t xml:space="preserve">, mediante solicitud de acceso a la información requirió la información siguiente: </w:t>
      </w:r>
    </w:p>
    <w:p w:rsidR="00A410B3" w:rsidRPr="00A00383" w:rsidRDefault="00A410B3" w:rsidP="00A410B3">
      <w:pPr>
        <w:pStyle w:val="Prrafodelista"/>
        <w:spacing w:before="240" w:after="240" w:line="360" w:lineRule="auto"/>
        <w:ind w:left="360"/>
        <w:jc w:val="both"/>
        <w:rPr>
          <w:rFonts w:ascii="Palatino Linotype" w:hAnsi="Palatino Linotype"/>
          <w:b/>
          <w:bCs/>
          <w:color w:val="000000" w:themeColor="text1"/>
        </w:rPr>
      </w:pPr>
    </w:p>
    <w:p w:rsidR="00A410B3" w:rsidRPr="00A00383" w:rsidRDefault="00A410B3" w:rsidP="00A410B3">
      <w:pPr>
        <w:pStyle w:val="Prrafodelista"/>
        <w:spacing w:before="240" w:after="240" w:line="360" w:lineRule="auto"/>
        <w:ind w:left="360"/>
        <w:jc w:val="both"/>
        <w:rPr>
          <w:rFonts w:ascii="Palatino Linotype" w:hAnsi="Palatino Linotype"/>
          <w:color w:val="000000" w:themeColor="text1"/>
        </w:rPr>
      </w:pPr>
      <w:proofErr w:type="gramStart"/>
      <w:r w:rsidRPr="00A00383">
        <w:rPr>
          <w:rFonts w:ascii="Palatino Linotype" w:hAnsi="Palatino Linotype"/>
          <w:b/>
          <w:bCs/>
          <w:color w:val="000000" w:themeColor="text1"/>
        </w:rPr>
        <w:t>Solicitud  00547</w:t>
      </w:r>
      <w:proofErr w:type="gramEnd"/>
      <w:r w:rsidRPr="00A00383">
        <w:rPr>
          <w:rFonts w:ascii="Palatino Linotype" w:hAnsi="Palatino Linotype"/>
          <w:b/>
          <w:bCs/>
          <w:color w:val="000000" w:themeColor="text1"/>
        </w:rPr>
        <w:t>/UPVT/IP/2018:</w:t>
      </w:r>
    </w:p>
    <w:p w:rsidR="00A410B3" w:rsidRPr="00A00383" w:rsidRDefault="00A410B3" w:rsidP="00A410B3">
      <w:pPr>
        <w:pStyle w:val="Sinespaciado"/>
        <w:tabs>
          <w:tab w:val="left" w:pos="142"/>
        </w:tabs>
        <w:spacing w:line="360" w:lineRule="auto"/>
        <w:ind w:left="567" w:right="334"/>
        <w:jc w:val="both"/>
        <w:rPr>
          <w:rFonts w:ascii="Palatino Linotype" w:hAnsi="Palatino Linotype" w:cs="Arial"/>
          <w:i/>
          <w:color w:val="000000" w:themeColor="text1"/>
        </w:rPr>
      </w:pPr>
      <w:r w:rsidRPr="00A00383">
        <w:rPr>
          <w:rFonts w:ascii="Palatino Linotype" w:hAnsi="Palatino Linotype" w:cs="Arial"/>
          <w:i/>
          <w:color w:val="000000" w:themeColor="text1"/>
        </w:rPr>
        <w:t xml:space="preserve">“Histórico de quejas, denuncias o </w:t>
      </w:r>
      <w:proofErr w:type="spellStart"/>
      <w:r w:rsidRPr="00A00383">
        <w:rPr>
          <w:rFonts w:ascii="Palatino Linotype" w:hAnsi="Palatino Linotype" w:cs="Arial"/>
          <w:i/>
          <w:color w:val="000000" w:themeColor="text1"/>
        </w:rPr>
        <w:t>acusasiones</w:t>
      </w:r>
      <w:proofErr w:type="spellEnd"/>
      <w:r w:rsidRPr="00A00383">
        <w:rPr>
          <w:rFonts w:ascii="Palatino Linotype" w:hAnsi="Palatino Linotype" w:cs="Arial"/>
          <w:i/>
          <w:color w:val="000000" w:themeColor="text1"/>
        </w:rPr>
        <w:t xml:space="preserve"> para los servidores </w:t>
      </w:r>
      <w:proofErr w:type="spellStart"/>
      <w:r w:rsidRPr="00A00383">
        <w:rPr>
          <w:rFonts w:ascii="Palatino Linotype" w:hAnsi="Palatino Linotype" w:cs="Arial"/>
          <w:i/>
          <w:color w:val="000000" w:themeColor="text1"/>
        </w:rPr>
        <w:t>publicos</w:t>
      </w:r>
      <w:proofErr w:type="spellEnd"/>
      <w:r w:rsidRPr="00A00383">
        <w:rPr>
          <w:rFonts w:ascii="Palatino Linotype" w:hAnsi="Palatino Linotype" w:cs="Arial"/>
          <w:i/>
          <w:color w:val="000000" w:themeColor="text1"/>
        </w:rPr>
        <w:t xml:space="preserve"> de la universidad, indicando bajo que causa se les acusa y la resolución de cada caso.” (Sic)</w:t>
      </w:r>
    </w:p>
    <w:p w:rsidR="00A410B3" w:rsidRPr="00A00383" w:rsidRDefault="00A410B3" w:rsidP="00A410B3">
      <w:pPr>
        <w:pStyle w:val="Sinespaciado"/>
        <w:spacing w:line="360" w:lineRule="auto"/>
        <w:ind w:left="360" w:right="334"/>
        <w:jc w:val="both"/>
        <w:rPr>
          <w:rFonts w:ascii="Palatino Linotype" w:hAnsi="Palatino Linotype" w:cs="Arial"/>
          <w:i/>
          <w:color w:val="000000" w:themeColor="text1"/>
        </w:rPr>
      </w:pPr>
    </w:p>
    <w:p w:rsidR="00A410B3" w:rsidRPr="00A00383" w:rsidRDefault="00A410B3" w:rsidP="006E2911">
      <w:pPr>
        <w:pStyle w:val="Prrafode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r w:rsidRPr="00A00383">
        <w:rPr>
          <w:rFonts w:ascii="Palatino Linotype" w:hAnsi="Palatino Linotype" w:cs="Arial"/>
        </w:rPr>
        <w:t xml:space="preserve">En ese sentido, </w:t>
      </w:r>
      <w:r w:rsidR="00C648C5" w:rsidRPr="00A00383">
        <w:rPr>
          <w:rFonts w:ascii="Palatino Linotype" w:hAnsi="Palatino Linotype" w:cs="Arial"/>
        </w:rPr>
        <w:t>la hoy recurrente</w:t>
      </w:r>
      <w:r w:rsidRPr="00A00383">
        <w:rPr>
          <w:rFonts w:ascii="Palatino Linotype" w:hAnsi="Palatino Linotype" w:cs="Arial"/>
        </w:rPr>
        <w:t xml:space="preserve"> manifestó en su recurso de revisión como acto impugnado, y como razones o motivos de inconformidad los siguientes:</w:t>
      </w:r>
    </w:p>
    <w:p w:rsidR="00CF16BC" w:rsidRPr="00A00383" w:rsidRDefault="00CF16BC" w:rsidP="00CF16B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0D714D" w:rsidRPr="00A00383" w:rsidRDefault="000D714D" w:rsidP="00C648C5">
      <w:pPr>
        <w:pStyle w:val="Prrafodelista"/>
        <w:shd w:val="clear" w:color="auto" w:fill="FFFFFF"/>
        <w:tabs>
          <w:tab w:val="left" w:pos="5223"/>
        </w:tabs>
        <w:spacing w:before="240" w:after="240" w:line="360" w:lineRule="auto"/>
        <w:ind w:left="360"/>
        <w:jc w:val="both"/>
        <w:rPr>
          <w:rFonts w:ascii="Palatino Linotype" w:hAnsi="Palatino Linotype"/>
          <w:b/>
          <w:color w:val="000000" w:themeColor="text1"/>
        </w:rPr>
      </w:pPr>
    </w:p>
    <w:p w:rsidR="00A410B3" w:rsidRPr="00A00383" w:rsidRDefault="00A410B3" w:rsidP="00A410B3">
      <w:pPr>
        <w:pStyle w:val="Prrafodelista"/>
        <w:spacing w:line="360" w:lineRule="auto"/>
        <w:ind w:left="360"/>
        <w:jc w:val="both"/>
        <w:rPr>
          <w:rFonts w:ascii="Palatino Linotype" w:hAnsi="Palatino Linotype" w:cs="Arial"/>
          <w:b/>
        </w:rPr>
      </w:pPr>
      <w:r w:rsidRPr="00A00383">
        <w:rPr>
          <w:rFonts w:ascii="Palatino Linotype" w:hAnsi="Palatino Linotype" w:cs="Arial"/>
          <w:b/>
        </w:rPr>
        <w:t>ACTO IMPUGNADO</w:t>
      </w:r>
      <w:r w:rsidRPr="00A00383">
        <w:rPr>
          <w:rFonts w:ascii="Palatino Linotype" w:hAnsi="Palatino Linotype" w:cs="Arial"/>
          <w:b/>
        </w:rPr>
        <w:tab/>
      </w:r>
    </w:p>
    <w:p w:rsidR="00A410B3" w:rsidRPr="00A00383" w:rsidRDefault="00A410B3" w:rsidP="00A410B3">
      <w:pPr>
        <w:pStyle w:val="Prrafodelista"/>
        <w:spacing w:line="360" w:lineRule="auto"/>
        <w:ind w:left="567" w:right="333"/>
        <w:jc w:val="both"/>
        <w:rPr>
          <w:rFonts w:ascii="Palatino Linotype" w:hAnsi="Palatino Linotype" w:cs="Arial"/>
          <w:i/>
        </w:rPr>
      </w:pPr>
      <w:r w:rsidRPr="00A00383">
        <w:rPr>
          <w:rFonts w:ascii="Palatino Linotype" w:hAnsi="Palatino Linotype" w:cs="Arial"/>
          <w:i/>
        </w:rPr>
        <w:lastRenderedPageBreak/>
        <w:t>“</w:t>
      </w:r>
      <w:r w:rsidR="00C648C5" w:rsidRPr="00A00383">
        <w:rPr>
          <w:rFonts w:ascii="Palatino Linotype" w:hAnsi="Palatino Linotype" w:cs="Arial"/>
          <w:i/>
        </w:rPr>
        <w:t xml:space="preserve">Histórico de quejas, denuncias o </w:t>
      </w:r>
      <w:proofErr w:type="spellStart"/>
      <w:r w:rsidR="00C648C5" w:rsidRPr="00A00383">
        <w:rPr>
          <w:rFonts w:ascii="Palatino Linotype" w:hAnsi="Palatino Linotype" w:cs="Arial"/>
          <w:i/>
        </w:rPr>
        <w:t>acusasiones</w:t>
      </w:r>
      <w:proofErr w:type="spellEnd"/>
      <w:r w:rsidR="00C648C5" w:rsidRPr="00A00383">
        <w:rPr>
          <w:rFonts w:ascii="Palatino Linotype" w:hAnsi="Palatino Linotype" w:cs="Arial"/>
          <w:i/>
        </w:rPr>
        <w:t xml:space="preserve"> para los servidores </w:t>
      </w:r>
      <w:proofErr w:type="spellStart"/>
      <w:r w:rsidR="00C648C5" w:rsidRPr="00A00383">
        <w:rPr>
          <w:rFonts w:ascii="Palatino Linotype" w:hAnsi="Palatino Linotype" w:cs="Arial"/>
          <w:i/>
        </w:rPr>
        <w:t>publicos</w:t>
      </w:r>
      <w:proofErr w:type="spellEnd"/>
      <w:r w:rsidR="00C648C5" w:rsidRPr="00A00383">
        <w:rPr>
          <w:rFonts w:ascii="Palatino Linotype" w:hAnsi="Palatino Linotype" w:cs="Arial"/>
          <w:i/>
        </w:rPr>
        <w:t xml:space="preserve"> de la universidad, indicando bajo que causa se les acusa y la resolución de cada caso</w:t>
      </w:r>
      <w:r w:rsidRPr="00A00383">
        <w:rPr>
          <w:rFonts w:ascii="Palatino Linotype" w:hAnsi="Palatino Linotype" w:cs="Arial"/>
          <w:i/>
        </w:rPr>
        <w:t xml:space="preserve">” </w:t>
      </w:r>
      <w:r w:rsidRPr="00A00383">
        <w:rPr>
          <w:rFonts w:ascii="Palatino Linotype" w:hAnsi="Palatino Linotype" w:cs="Arial"/>
        </w:rPr>
        <w:t>(Sic)</w:t>
      </w:r>
    </w:p>
    <w:p w:rsidR="00A410B3" w:rsidRPr="00A00383" w:rsidRDefault="00A410B3" w:rsidP="00A410B3">
      <w:pPr>
        <w:pStyle w:val="Prrafodelista"/>
        <w:spacing w:line="360" w:lineRule="auto"/>
        <w:ind w:left="360"/>
        <w:jc w:val="both"/>
        <w:rPr>
          <w:rFonts w:ascii="Palatino Linotype" w:hAnsi="Palatino Linotype" w:cs="Arial"/>
        </w:rPr>
      </w:pPr>
    </w:p>
    <w:p w:rsidR="00A410B3" w:rsidRPr="00A00383" w:rsidRDefault="00A410B3" w:rsidP="00A410B3">
      <w:pPr>
        <w:pStyle w:val="Prrafodelista"/>
        <w:spacing w:line="360" w:lineRule="auto"/>
        <w:ind w:left="360"/>
        <w:jc w:val="both"/>
        <w:rPr>
          <w:rFonts w:ascii="Palatino Linotype" w:hAnsi="Palatino Linotype" w:cs="Arial"/>
          <w:b/>
        </w:rPr>
      </w:pPr>
      <w:r w:rsidRPr="00A00383">
        <w:rPr>
          <w:rFonts w:ascii="Palatino Linotype" w:hAnsi="Palatino Linotype" w:cs="Arial"/>
          <w:b/>
        </w:rPr>
        <w:t>RAZONES O MOTIVOS DE LA INCONFORMIDAD</w:t>
      </w:r>
      <w:r w:rsidRPr="00A00383">
        <w:rPr>
          <w:rFonts w:ascii="Palatino Linotype" w:hAnsi="Palatino Linotype" w:cs="Arial"/>
          <w:b/>
        </w:rPr>
        <w:tab/>
      </w:r>
    </w:p>
    <w:p w:rsidR="00A410B3" w:rsidRPr="00A00383" w:rsidRDefault="00A410B3" w:rsidP="00A410B3">
      <w:pPr>
        <w:pStyle w:val="Prrafodelista"/>
        <w:spacing w:line="360" w:lineRule="auto"/>
        <w:ind w:left="567" w:right="333"/>
        <w:jc w:val="both"/>
        <w:rPr>
          <w:rFonts w:ascii="Palatino Linotype" w:hAnsi="Palatino Linotype" w:cs="Arial"/>
        </w:rPr>
      </w:pPr>
      <w:r w:rsidRPr="00A00383">
        <w:rPr>
          <w:rFonts w:ascii="Palatino Linotype" w:hAnsi="Palatino Linotype" w:cs="Arial"/>
          <w:i/>
        </w:rPr>
        <w:t>“</w:t>
      </w:r>
      <w:r w:rsidR="00C648C5" w:rsidRPr="00A00383">
        <w:rPr>
          <w:rFonts w:ascii="Palatino Linotype" w:hAnsi="Palatino Linotype" w:cs="Arial"/>
          <w:i/>
        </w:rPr>
        <w:t>No brindan la información, se contradicen, refieren tener un órgano interno de control, entonces porque no da respuesta esa área</w:t>
      </w:r>
      <w:r w:rsidRPr="00A00383">
        <w:rPr>
          <w:rFonts w:ascii="Palatino Linotype" w:hAnsi="Palatino Linotype" w:cs="Arial"/>
          <w:i/>
        </w:rPr>
        <w:t xml:space="preserve">.” </w:t>
      </w:r>
      <w:r w:rsidRPr="00A00383">
        <w:rPr>
          <w:rFonts w:ascii="Palatino Linotype" w:hAnsi="Palatino Linotype" w:cs="Arial"/>
        </w:rPr>
        <w:t>(Sic)</w:t>
      </w:r>
    </w:p>
    <w:p w:rsidR="00A410B3" w:rsidRPr="00A00383" w:rsidRDefault="00A410B3" w:rsidP="00A410B3">
      <w:pPr>
        <w:pStyle w:val="Prrafodelista"/>
        <w:spacing w:line="360" w:lineRule="auto"/>
        <w:ind w:left="360"/>
        <w:jc w:val="both"/>
        <w:rPr>
          <w:rFonts w:ascii="Palatino Linotype" w:hAnsi="Palatino Linotype" w:cs="Arial"/>
          <w:i/>
        </w:rPr>
      </w:pPr>
    </w:p>
    <w:p w:rsidR="00A410B3" w:rsidRPr="00A00383" w:rsidRDefault="00A410B3" w:rsidP="00A410B3">
      <w:pPr>
        <w:pStyle w:val="Prrafodelista"/>
        <w:tabs>
          <w:tab w:val="left" w:pos="284"/>
        </w:tabs>
        <w:spacing w:line="360" w:lineRule="auto"/>
        <w:ind w:left="284"/>
        <w:jc w:val="both"/>
        <w:rPr>
          <w:rFonts w:ascii="Palatino Linotype" w:hAnsi="Palatino Linotype" w:cs="Arial"/>
        </w:rPr>
      </w:pPr>
    </w:p>
    <w:p w:rsidR="00864D58" w:rsidRPr="00A00383" w:rsidRDefault="003331EE" w:rsidP="00864D58">
      <w:pPr>
        <w:pStyle w:val="Ttulo2"/>
        <w:rPr>
          <w:rFonts w:ascii="Palatino Linotype" w:hAnsi="Palatino Linotype"/>
          <w:b/>
          <w:color w:val="000000" w:themeColor="text1"/>
          <w:sz w:val="24"/>
          <w:szCs w:val="24"/>
        </w:rPr>
      </w:pPr>
      <w:bookmarkStart w:id="7" w:name="_Toc523157561"/>
      <w:r w:rsidRPr="00A00383">
        <w:rPr>
          <w:rFonts w:ascii="Palatino Linotype" w:hAnsi="Palatino Linotype"/>
          <w:b/>
          <w:color w:val="000000" w:themeColor="text1"/>
          <w:sz w:val="24"/>
          <w:szCs w:val="24"/>
        </w:rPr>
        <w:t>II</w:t>
      </w:r>
      <w:r w:rsidR="00CF16BC" w:rsidRPr="00A00383">
        <w:rPr>
          <w:rFonts w:ascii="Palatino Linotype" w:hAnsi="Palatino Linotype"/>
          <w:b/>
          <w:color w:val="000000" w:themeColor="text1"/>
          <w:sz w:val="24"/>
          <w:szCs w:val="24"/>
        </w:rPr>
        <w:t>I</w:t>
      </w:r>
      <w:r w:rsidRPr="00A00383">
        <w:rPr>
          <w:rFonts w:ascii="Palatino Linotype" w:hAnsi="Palatino Linotype"/>
          <w:b/>
          <w:color w:val="000000" w:themeColor="text1"/>
          <w:sz w:val="24"/>
          <w:szCs w:val="24"/>
        </w:rPr>
        <w:t xml:space="preserve">. </w:t>
      </w:r>
      <w:r w:rsidR="00864D58" w:rsidRPr="00A00383">
        <w:rPr>
          <w:rFonts w:ascii="Palatino Linotype" w:hAnsi="Palatino Linotype"/>
          <w:b/>
          <w:color w:val="000000" w:themeColor="text1"/>
          <w:sz w:val="24"/>
          <w:szCs w:val="24"/>
        </w:rPr>
        <w:t xml:space="preserve">De la respuesta </w:t>
      </w:r>
      <w:r w:rsidR="00266515" w:rsidRPr="00A00383">
        <w:rPr>
          <w:rFonts w:ascii="Palatino Linotype" w:hAnsi="Palatino Linotype"/>
          <w:b/>
          <w:color w:val="000000" w:themeColor="text1"/>
          <w:sz w:val="24"/>
          <w:szCs w:val="24"/>
        </w:rPr>
        <w:t>del Sujeto Obligado</w:t>
      </w:r>
      <w:r w:rsidR="00864D58" w:rsidRPr="00A00383">
        <w:rPr>
          <w:rFonts w:ascii="Palatino Linotype" w:hAnsi="Palatino Linotype"/>
          <w:b/>
          <w:color w:val="000000" w:themeColor="text1"/>
          <w:sz w:val="24"/>
          <w:szCs w:val="24"/>
        </w:rPr>
        <w:t>.</w:t>
      </w:r>
      <w:bookmarkEnd w:id="4"/>
      <w:bookmarkEnd w:id="5"/>
      <w:bookmarkEnd w:id="7"/>
    </w:p>
    <w:p w:rsidR="00864D58" w:rsidRPr="00A00383" w:rsidRDefault="00864D58" w:rsidP="00864D58">
      <w:pPr>
        <w:rPr>
          <w:rFonts w:ascii="Palatino Linotype" w:hAnsi="Palatino Linotype"/>
          <w:color w:val="000000" w:themeColor="text1"/>
        </w:rPr>
      </w:pPr>
    </w:p>
    <w:p w:rsidR="00266515" w:rsidRPr="00A00383" w:rsidRDefault="00C648C5"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color w:val="000000" w:themeColor="text1"/>
        </w:rPr>
      </w:pPr>
      <w:r w:rsidRPr="00A00383">
        <w:rPr>
          <w:rFonts w:ascii="Palatino Linotype" w:hAnsi="Palatino Linotype" w:cs="Arial"/>
          <w:color w:val="000000"/>
        </w:rPr>
        <w:t>E</w:t>
      </w:r>
      <w:r w:rsidR="00266515" w:rsidRPr="00A00383">
        <w:rPr>
          <w:rFonts w:ascii="Palatino Linotype" w:hAnsi="Palatino Linotype" w:cs="Arial"/>
          <w:color w:val="000000"/>
        </w:rPr>
        <w:t>l Sujeto Obligado se pronunció</w:t>
      </w:r>
      <w:r w:rsidRPr="00A00383">
        <w:rPr>
          <w:rFonts w:ascii="Palatino Linotype" w:hAnsi="Palatino Linotype" w:cs="Arial"/>
          <w:color w:val="000000"/>
        </w:rPr>
        <w:t>, en el sentido de</w:t>
      </w:r>
      <w:r w:rsidR="00266515" w:rsidRPr="00A00383">
        <w:rPr>
          <w:rFonts w:ascii="Palatino Linotype" w:hAnsi="Palatino Linotype" w:cs="Arial"/>
          <w:color w:val="000000"/>
        </w:rPr>
        <w:t xml:space="preserve"> la imposibilidad para dar atención a la solicitud de mérito en virtud de que el Órgano Interno de Control de la Universidad Politécnica del Valle de Toluca, es quien se encarga de dar atención a las quejas o denuncias que se reciben a través del</w:t>
      </w:r>
      <w:r w:rsidRPr="00A00383">
        <w:rPr>
          <w:rFonts w:ascii="Palatino Linotype" w:hAnsi="Palatino Linotype" w:cs="Arial"/>
          <w:color w:val="000000"/>
        </w:rPr>
        <w:t xml:space="preserve"> Sistema de Atención Mexiquense; sin embargo a quien</w:t>
      </w:r>
      <w:r w:rsidR="00266515" w:rsidRPr="00A00383">
        <w:rPr>
          <w:rFonts w:ascii="Palatino Linotype" w:hAnsi="Palatino Linotype" w:cs="Arial"/>
          <w:color w:val="000000"/>
        </w:rPr>
        <w:t xml:space="preserve"> puede solicitar los motivos y resolución de cada queja o denuncia, a través de la Secretaría de la Contraloría del Gobierno del Estado de México.</w:t>
      </w:r>
    </w:p>
    <w:p w:rsidR="00266515" w:rsidRPr="00A00383" w:rsidRDefault="00266515" w:rsidP="0026651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color w:val="000000" w:themeColor="text1"/>
        </w:rPr>
      </w:pPr>
    </w:p>
    <w:p w:rsidR="00266515" w:rsidRPr="00A00383" w:rsidRDefault="00266515"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A00383">
        <w:rPr>
          <w:rFonts w:ascii="Palatino Linotype" w:hAnsi="Palatino Linotype" w:cs="Arial"/>
          <w:color w:val="000000" w:themeColor="text1"/>
        </w:rPr>
        <w:t xml:space="preserve">En ese sentido, la ponencia </w:t>
      </w:r>
      <w:proofErr w:type="spellStart"/>
      <w:r w:rsidRPr="00A00383">
        <w:rPr>
          <w:rFonts w:ascii="Palatino Linotype" w:hAnsi="Palatino Linotype" w:cs="Arial"/>
          <w:color w:val="000000" w:themeColor="text1"/>
        </w:rPr>
        <w:t>resolutora</w:t>
      </w:r>
      <w:proofErr w:type="spellEnd"/>
      <w:r w:rsidRPr="00A00383">
        <w:rPr>
          <w:rFonts w:ascii="Palatino Linotype" w:hAnsi="Palatino Linotype" w:cs="Arial"/>
          <w:color w:val="000000" w:themeColor="text1"/>
        </w:rPr>
        <w:t xml:space="preserve"> expone </w:t>
      </w:r>
      <w:r w:rsidR="003A68B3" w:rsidRPr="00A00383">
        <w:rPr>
          <w:rFonts w:ascii="Palatino Linotype" w:hAnsi="Palatino Linotype" w:cs="Arial"/>
          <w:color w:val="000000" w:themeColor="text1"/>
        </w:rPr>
        <w:t>que si bien es cierto</w:t>
      </w:r>
      <w:r w:rsidRPr="00A00383">
        <w:rPr>
          <w:rFonts w:ascii="Palatino Linotype" w:hAnsi="Palatino Linotype" w:cs="Arial"/>
          <w:color w:val="000000" w:themeColor="text1"/>
        </w:rPr>
        <w:t xml:space="preserve"> el S</w:t>
      </w:r>
      <w:r w:rsidRPr="00A00383">
        <w:rPr>
          <w:rFonts w:ascii="Palatino Linotype" w:hAnsi="Palatino Linotype" w:cs="Arial"/>
          <w:lang w:eastAsia="es-MX"/>
        </w:rPr>
        <w:t xml:space="preserve">ujeto Obligado funge en calidad de Enlace de la Dependencia con el Sistema de Atención Mexiquense (SAM), y que </w:t>
      </w:r>
      <w:r w:rsidRPr="00A00383">
        <w:rPr>
          <w:rFonts w:ascii="Palatino Linotype" w:hAnsi="Palatino Linotype" w:cs="Arial"/>
          <w:b/>
          <w:lang w:eastAsia="es-MX"/>
        </w:rPr>
        <w:t xml:space="preserve">tiene conocimiento </w:t>
      </w:r>
      <w:r w:rsidRPr="00A00383">
        <w:rPr>
          <w:rFonts w:ascii="Palatino Linotype" w:hAnsi="Palatino Linotype" w:cs="Arial"/>
          <w:lang w:eastAsia="es-MX"/>
        </w:rPr>
        <w:t xml:space="preserve">de un registro de queja en contra de servidores públicos de ese Sujeto Obligado; no obstante, </w:t>
      </w:r>
      <w:r w:rsidR="003A68B3" w:rsidRPr="00A00383">
        <w:rPr>
          <w:rFonts w:ascii="Palatino Linotype" w:hAnsi="Palatino Linotype" w:cs="Arial"/>
          <w:lang w:eastAsia="es-MX"/>
        </w:rPr>
        <w:t xml:space="preserve">da curso </w:t>
      </w:r>
      <w:r w:rsidR="003A68B3" w:rsidRPr="00A00383">
        <w:rPr>
          <w:rFonts w:ascii="Palatino Linotype" w:hAnsi="Palatino Linotype" w:cs="Arial"/>
          <w:lang w:eastAsia="es-MX"/>
        </w:rPr>
        <w:lastRenderedPageBreak/>
        <w:t xml:space="preserve">positivo a lo expuesto por la Universidad Politécnica del Valle de Toluca, </w:t>
      </w:r>
      <w:r w:rsidRPr="00A00383">
        <w:rPr>
          <w:rFonts w:ascii="Palatino Linotype" w:hAnsi="Palatino Linotype" w:cs="Arial"/>
          <w:lang w:eastAsia="es-MX"/>
        </w:rPr>
        <w:t>a fin</w:t>
      </w:r>
      <w:r w:rsidR="003A68B3" w:rsidRPr="00A00383">
        <w:rPr>
          <w:rFonts w:ascii="Palatino Linotype" w:hAnsi="Palatino Linotype" w:cs="Arial"/>
          <w:lang w:eastAsia="es-MX"/>
        </w:rPr>
        <w:t xml:space="preserve"> de que </w:t>
      </w:r>
      <w:r w:rsidR="00C648C5" w:rsidRPr="00A00383">
        <w:rPr>
          <w:rFonts w:ascii="Palatino Linotype" w:hAnsi="Palatino Linotype" w:cs="Arial"/>
          <w:lang w:eastAsia="es-MX"/>
        </w:rPr>
        <w:t xml:space="preserve">para el caso que </w:t>
      </w:r>
      <w:r w:rsidR="003A68B3" w:rsidRPr="00A00383">
        <w:rPr>
          <w:rFonts w:ascii="Palatino Linotype" w:hAnsi="Palatino Linotype" w:cs="Arial"/>
          <w:lang w:eastAsia="es-MX"/>
        </w:rPr>
        <w:t>la recurrente puede allegarse de la información de referencia, deberá</w:t>
      </w:r>
      <w:r w:rsidRPr="00A00383">
        <w:rPr>
          <w:rFonts w:ascii="Palatino Linotype" w:hAnsi="Palatino Linotype" w:cs="Arial"/>
          <w:lang w:eastAsia="es-MX"/>
        </w:rPr>
        <w:t xml:space="preserve"> realizar una solicitud de acceso a la información pública a la Secretaría de la Contraloría.</w:t>
      </w:r>
    </w:p>
    <w:p w:rsidR="003A68B3" w:rsidRPr="00A00383" w:rsidRDefault="003A68B3" w:rsidP="003A68B3">
      <w:pPr>
        <w:pStyle w:val="Prrafodelista"/>
        <w:rPr>
          <w:rFonts w:ascii="Palatino Linotype" w:hAnsi="Palatino Linotype" w:cs="Arial"/>
          <w:lang w:eastAsia="es-MX"/>
        </w:rPr>
      </w:pPr>
    </w:p>
    <w:p w:rsidR="003A68B3" w:rsidRPr="00A00383" w:rsidRDefault="003A68B3"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A00383">
        <w:rPr>
          <w:rFonts w:ascii="Palatino Linotype" w:hAnsi="Palatino Linotype" w:cs="Arial"/>
          <w:lang w:eastAsia="es-MX"/>
        </w:rPr>
        <w:t xml:space="preserve">En ese sentido, si bien también es cierto lo expuesto por la Ponencia </w:t>
      </w:r>
      <w:proofErr w:type="spellStart"/>
      <w:r w:rsidRPr="00A00383">
        <w:rPr>
          <w:rFonts w:ascii="Palatino Linotype" w:hAnsi="Palatino Linotype" w:cs="Arial"/>
          <w:lang w:eastAsia="es-MX"/>
        </w:rPr>
        <w:t>resoluto</w:t>
      </w:r>
      <w:r w:rsidR="00C37D34" w:rsidRPr="00A00383">
        <w:rPr>
          <w:rFonts w:ascii="Palatino Linotype" w:hAnsi="Palatino Linotype" w:cs="Arial"/>
          <w:lang w:eastAsia="es-MX"/>
        </w:rPr>
        <w:t>ra</w:t>
      </w:r>
      <w:proofErr w:type="spellEnd"/>
      <w:r w:rsidR="00C37D34" w:rsidRPr="00A00383">
        <w:rPr>
          <w:rFonts w:ascii="Palatino Linotype" w:hAnsi="Palatino Linotype" w:cs="Arial"/>
          <w:lang w:eastAsia="es-MX"/>
        </w:rPr>
        <w:t xml:space="preserve"> en su estudio tocante a que d</w:t>
      </w:r>
      <w:r w:rsidRPr="00A00383">
        <w:rPr>
          <w:rFonts w:ascii="Palatino Linotype" w:hAnsi="Palatino Linotype" w:cs="Arial"/>
          <w:lang w:eastAsia="es-MX"/>
        </w:rPr>
        <w:t>e acuerdo con la Ley Orgánica de la Administración Pública del Estado de México, la Secretaría de la Contraloría del Estado de México, es la dependencia encargada de la vigilancia, fiscalización y control de los ingresos, gastos, recursos y obligaciones de la administración pública estatal y su sector auxiliar, así como de las responsabilidades de los servidores públicos</w:t>
      </w:r>
      <w:r w:rsidR="00C37D34" w:rsidRPr="00A00383">
        <w:rPr>
          <w:rFonts w:ascii="Palatino Linotype" w:hAnsi="Palatino Linotype" w:cs="Arial"/>
          <w:lang w:eastAsia="es-MX"/>
        </w:rPr>
        <w:t>.</w:t>
      </w:r>
    </w:p>
    <w:p w:rsidR="00FE3075" w:rsidRPr="00A00383" w:rsidRDefault="00FE3075" w:rsidP="00FE3075">
      <w:pPr>
        <w:pStyle w:val="Prrafodelista"/>
        <w:rPr>
          <w:rFonts w:ascii="Palatino Linotype" w:hAnsi="Palatino Linotype" w:cs="Arial"/>
          <w:lang w:eastAsia="es-MX"/>
        </w:rPr>
      </w:pPr>
    </w:p>
    <w:p w:rsidR="00C37D34" w:rsidRPr="00A00383" w:rsidRDefault="00C37D34"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A00383">
        <w:rPr>
          <w:rFonts w:ascii="Palatino Linotype" w:hAnsi="Palatino Linotype" w:cs="Arial"/>
          <w:lang w:eastAsia="es-MX"/>
        </w:rPr>
        <w:t>Y que entonces, es correcto que los Órganos de Control Interno adscritos a los Organismos Auxiliares, dependerán jerárquica y funcionalmente de la Secretaría de la Contraloría del Estado de México, e</w:t>
      </w:r>
      <w:r w:rsidRPr="00A00383">
        <w:rPr>
          <w:rFonts w:ascii="Palatino Linotype" w:hAnsi="Palatino Linotype" w:cs="Arial"/>
          <w:color w:val="000000" w:themeColor="text1"/>
        </w:rPr>
        <w:t xml:space="preserve">llo no es óbice para que </w:t>
      </w:r>
      <w:r w:rsidRPr="00A00383">
        <w:rPr>
          <w:rFonts w:ascii="Palatino Linotype" w:hAnsi="Palatino Linotype" w:cs="Arial"/>
          <w:lang w:eastAsia="es-MX"/>
        </w:rPr>
        <w:t>el</w:t>
      </w:r>
      <w:r w:rsidRPr="00A00383">
        <w:rPr>
          <w:rFonts w:ascii="Palatino Linotype" w:hAnsi="Palatino Linotype" w:cs="Arial"/>
          <w:b/>
          <w:lang w:eastAsia="es-MX"/>
        </w:rPr>
        <w:t xml:space="preserve"> </w:t>
      </w:r>
      <w:r w:rsidRPr="00A00383">
        <w:rPr>
          <w:rFonts w:ascii="Palatino Linotype" w:hAnsi="Palatino Linotype" w:cs="Arial"/>
          <w:lang w:eastAsia="es-MX"/>
        </w:rPr>
        <w:t xml:space="preserve">Sujeto Obligado, al referir que </w:t>
      </w:r>
      <w:r w:rsidR="00FE3075" w:rsidRPr="00A00383">
        <w:rPr>
          <w:rFonts w:ascii="Palatino Linotype" w:hAnsi="Palatino Linotype" w:cs="Arial"/>
          <w:lang w:eastAsia="es-MX"/>
        </w:rPr>
        <w:t>su</w:t>
      </w:r>
      <w:r w:rsidRPr="00A00383">
        <w:rPr>
          <w:rFonts w:ascii="Palatino Linotype" w:hAnsi="Palatino Linotype" w:cs="Arial"/>
          <w:lang w:eastAsia="es-MX"/>
        </w:rPr>
        <w:t xml:space="preserve"> Órgano Interno de Control, de acuerdo al planteamiento anterior, carece de facultades para requerir la atención de la solicitud de </w:t>
      </w:r>
      <w:r w:rsidR="00D0774E" w:rsidRPr="00A00383">
        <w:rPr>
          <w:rFonts w:ascii="Palatino Linotype" w:hAnsi="Palatino Linotype" w:cs="Arial"/>
          <w:lang w:eastAsia="es-MX"/>
        </w:rPr>
        <w:t>información generadora de la resolución que nos ocupa</w:t>
      </w:r>
      <w:r w:rsidRPr="00A00383">
        <w:rPr>
          <w:rFonts w:ascii="Palatino Linotype" w:hAnsi="Palatino Linotype" w:cs="Arial"/>
          <w:lang w:eastAsia="es-MX"/>
        </w:rPr>
        <w:t>.</w:t>
      </w:r>
    </w:p>
    <w:p w:rsidR="00266515" w:rsidRPr="00A00383" w:rsidRDefault="00266515" w:rsidP="00C37D3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color w:val="000000" w:themeColor="text1"/>
        </w:rPr>
      </w:pPr>
    </w:p>
    <w:p w:rsidR="00C37D34" w:rsidRPr="00A00383" w:rsidRDefault="00C37D34" w:rsidP="006E2911">
      <w:pPr>
        <w:pStyle w:val="Prrafodelista"/>
        <w:numPr>
          <w:ilvl w:val="0"/>
          <w:numId w:val="41"/>
        </w:numPr>
        <w:spacing w:line="360" w:lineRule="auto"/>
        <w:jc w:val="both"/>
        <w:rPr>
          <w:rFonts w:ascii="Palatino Linotype" w:hAnsi="Palatino Linotype" w:cs="Arial"/>
          <w:lang w:eastAsia="es-MX"/>
        </w:rPr>
      </w:pPr>
      <w:r w:rsidRPr="00A00383">
        <w:rPr>
          <w:rFonts w:ascii="Palatino Linotype" w:hAnsi="Palatino Linotype" w:cs="Arial"/>
          <w:lang w:eastAsia="es-MX"/>
        </w:rPr>
        <w:t xml:space="preserve">Si bien el citado Sistema de Atención Mexiquense (SAM) es un sistema que consiste en recibir, tramitar y atender las quejas y denuncias presentadas por la ciudadanía con respecto a un trámite o a la prestación de un servicio público, o bien en cuanto al desempeño de los servidores públicos del Estado de México. </w:t>
      </w:r>
    </w:p>
    <w:p w:rsidR="003503B0" w:rsidRPr="00A00383" w:rsidRDefault="003503B0" w:rsidP="003503B0">
      <w:pPr>
        <w:pStyle w:val="Prrafodelista"/>
        <w:rPr>
          <w:rFonts w:ascii="Palatino Linotype" w:hAnsi="Palatino Linotype" w:cs="Arial"/>
          <w:lang w:eastAsia="es-MX"/>
        </w:rPr>
      </w:pPr>
    </w:p>
    <w:p w:rsidR="00C37D34" w:rsidRPr="00A00383" w:rsidRDefault="00D0774E" w:rsidP="006E2911">
      <w:pPr>
        <w:pStyle w:val="Prrafodelista"/>
        <w:numPr>
          <w:ilvl w:val="0"/>
          <w:numId w:val="41"/>
        </w:numPr>
        <w:spacing w:line="360" w:lineRule="auto"/>
        <w:jc w:val="both"/>
        <w:rPr>
          <w:rFonts w:ascii="Palatino Linotype" w:hAnsi="Palatino Linotype" w:cs="Arial"/>
          <w:lang w:eastAsia="es-MX"/>
        </w:rPr>
      </w:pPr>
      <w:r w:rsidRPr="00A00383">
        <w:rPr>
          <w:rFonts w:ascii="Palatino Linotype" w:hAnsi="Palatino Linotype" w:cs="Arial"/>
          <w:lang w:eastAsia="es-MX"/>
        </w:rPr>
        <w:t>También lo es c</w:t>
      </w:r>
      <w:r w:rsidR="00C37D34" w:rsidRPr="00A00383">
        <w:rPr>
          <w:rFonts w:ascii="Palatino Linotype" w:hAnsi="Palatino Linotype" w:cs="Arial"/>
          <w:lang w:eastAsia="es-MX"/>
        </w:rPr>
        <w:t>omo bien se precisó, funciona recibiendo y</w:t>
      </w:r>
      <w:r w:rsidR="00C37D34" w:rsidRPr="00A00383">
        <w:rPr>
          <w:rFonts w:ascii="Palatino Linotype" w:hAnsi="Palatino Linotype" w:cs="Arial"/>
          <w:b/>
          <w:lang w:eastAsia="es-MX"/>
        </w:rPr>
        <w:t xml:space="preserve"> turnando</w:t>
      </w:r>
      <w:r w:rsidR="00C37D34" w:rsidRPr="00A00383">
        <w:rPr>
          <w:rFonts w:ascii="Palatino Linotype" w:hAnsi="Palatino Linotype" w:cs="Arial"/>
          <w:lang w:eastAsia="es-MX"/>
        </w:rPr>
        <w:t xml:space="preserve"> a los enlaces de cada una de las dependencias del Poder Ejecutivo cuya administración le corresponde a la Dirección General de Investigación de conformidad con el artículo 21, fracciones XXVIII y XXIX del Reglamento Interior de la Secretar</w:t>
      </w:r>
      <w:r w:rsidR="00962AB3" w:rsidRPr="00A00383">
        <w:rPr>
          <w:rFonts w:ascii="Palatino Linotype" w:hAnsi="Palatino Linotype" w:cs="Arial"/>
          <w:lang w:eastAsia="es-MX"/>
        </w:rPr>
        <w:t>ía de la Contraloría</w:t>
      </w:r>
      <w:r w:rsidR="00FE3075" w:rsidRPr="00A00383">
        <w:rPr>
          <w:rFonts w:ascii="Palatino Linotype" w:hAnsi="Palatino Linotype" w:cs="Arial"/>
          <w:lang w:eastAsia="es-MX"/>
        </w:rPr>
        <w:t xml:space="preserve"> transcrito en el cuerpo de la resolución de mérito.</w:t>
      </w:r>
    </w:p>
    <w:p w:rsidR="00CB13A7" w:rsidRPr="00A00383" w:rsidRDefault="00CB13A7" w:rsidP="00CB13A7">
      <w:pPr>
        <w:pStyle w:val="Prrafodelista"/>
        <w:rPr>
          <w:rFonts w:ascii="Palatino Linotype" w:hAnsi="Palatino Linotype" w:cs="Arial"/>
          <w:lang w:eastAsia="es-MX"/>
        </w:rPr>
      </w:pPr>
    </w:p>
    <w:p w:rsidR="00CB13A7" w:rsidRPr="00A00383" w:rsidRDefault="00CB13A7" w:rsidP="006E2911">
      <w:pPr>
        <w:pStyle w:val="Prrafodelista"/>
        <w:numPr>
          <w:ilvl w:val="0"/>
          <w:numId w:val="41"/>
        </w:numPr>
        <w:spacing w:line="360" w:lineRule="auto"/>
        <w:jc w:val="both"/>
        <w:rPr>
          <w:rFonts w:ascii="Palatino Linotype" w:hAnsi="Palatino Linotype" w:cs="Arial"/>
          <w:lang w:eastAsia="es-MX"/>
        </w:rPr>
      </w:pPr>
      <w:r w:rsidRPr="00A00383">
        <w:rPr>
          <w:rFonts w:ascii="Palatino Linotype" w:hAnsi="Palatino Linotype" w:cs="Arial"/>
          <w:lang w:eastAsia="es-MX"/>
        </w:rPr>
        <w:t xml:space="preserve">De ahí que los Órganos de Control Interno, son los responsables de radicar, tramitar y resolver las quejas y denuncias que la Dirección General de Responsabilidades, les turne a través del SAM, que sean de su competencia, conforme al referido Reglamento Interior, </w:t>
      </w:r>
      <w:r w:rsidR="00D0774E" w:rsidRPr="00A00383">
        <w:rPr>
          <w:rFonts w:ascii="Palatino Linotype" w:hAnsi="Palatino Linotype" w:cs="Arial"/>
          <w:lang w:eastAsia="es-MX"/>
        </w:rPr>
        <w:t xml:space="preserve">por lo que el hecho de que </w:t>
      </w:r>
      <w:r w:rsidRPr="00A00383">
        <w:rPr>
          <w:rFonts w:ascii="Palatino Linotype" w:hAnsi="Palatino Linotype" w:cs="Arial"/>
          <w:lang w:eastAsia="es-MX"/>
        </w:rPr>
        <w:t>l</w:t>
      </w:r>
      <w:r w:rsidRPr="00A00383">
        <w:rPr>
          <w:rFonts w:ascii="Palatino Linotype" w:eastAsiaTheme="minorEastAsia" w:hAnsi="Palatino Linotype" w:cs="Bookman Old Style"/>
          <w:color w:val="000000"/>
        </w:rPr>
        <w:t xml:space="preserve">os Órganos Internos de Control de las Dependencias y Organismos Auxiliares o, en su caso, el servidor público que realice las funciones de control y evaluación, </w:t>
      </w:r>
      <w:r w:rsidR="00D0774E" w:rsidRPr="00A00383">
        <w:rPr>
          <w:rFonts w:ascii="Palatino Linotype" w:eastAsiaTheme="minorEastAsia" w:hAnsi="Palatino Linotype" w:cs="Bookman Old Style"/>
          <w:color w:val="000000"/>
        </w:rPr>
        <w:t>sean</w:t>
      </w:r>
      <w:r w:rsidRPr="00A00383">
        <w:rPr>
          <w:rFonts w:ascii="Palatino Linotype" w:eastAsiaTheme="minorEastAsia" w:hAnsi="Palatino Linotype" w:cs="Bookman Old Style"/>
          <w:color w:val="000000"/>
        </w:rPr>
        <w:t xml:space="preserve"> </w:t>
      </w:r>
      <w:r w:rsidR="00D0774E" w:rsidRPr="00A00383">
        <w:rPr>
          <w:rFonts w:ascii="Palatino Linotype" w:eastAsiaTheme="minorEastAsia" w:hAnsi="Palatino Linotype" w:cs="Bookman Old Style"/>
          <w:color w:val="000000"/>
        </w:rPr>
        <w:t>coordinados y dependan</w:t>
      </w:r>
      <w:r w:rsidRPr="00A00383">
        <w:rPr>
          <w:rFonts w:ascii="Palatino Linotype" w:eastAsiaTheme="minorEastAsia" w:hAnsi="Palatino Linotype" w:cs="Bookman Old Style"/>
          <w:color w:val="000000"/>
        </w:rPr>
        <w:t xml:space="preserve"> directa y funcionalmente de la Secretaría</w:t>
      </w:r>
      <w:r w:rsidR="00D0774E" w:rsidRPr="00A00383">
        <w:rPr>
          <w:rFonts w:ascii="Palatino Linotype" w:eastAsiaTheme="minorEastAsia" w:hAnsi="Palatino Linotype" w:cs="Bookman Old Style"/>
          <w:color w:val="000000"/>
        </w:rPr>
        <w:t>, ello sea obstáculo para que puedan poseer información tocante a la peticionada en la solicitud de información de referencia.</w:t>
      </w:r>
    </w:p>
    <w:p w:rsidR="00CB13A7" w:rsidRPr="00A00383" w:rsidRDefault="00CB13A7" w:rsidP="00CB13A7">
      <w:pPr>
        <w:pStyle w:val="Prrafodelista"/>
        <w:rPr>
          <w:rFonts w:ascii="Palatino Linotype" w:hAnsi="Palatino Linotype" w:cs="Arial"/>
          <w:lang w:eastAsia="es-MX"/>
        </w:rPr>
      </w:pPr>
    </w:p>
    <w:p w:rsidR="00FE3075" w:rsidRPr="00A00383" w:rsidRDefault="00D0774E" w:rsidP="006E2911">
      <w:pPr>
        <w:pStyle w:val="Prrafodelista"/>
        <w:numPr>
          <w:ilvl w:val="0"/>
          <w:numId w:val="41"/>
        </w:numPr>
        <w:spacing w:line="360" w:lineRule="auto"/>
        <w:jc w:val="both"/>
        <w:rPr>
          <w:rFonts w:ascii="Palatino Linotype" w:hAnsi="Palatino Linotype"/>
          <w:lang w:eastAsia="es-ES_tradnl"/>
        </w:rPr>
      </w:pPr>
      <w:r w:rsidRPr="00A00383">
        <w:rPr>
          <w:rFonts w:ascii="Palatino Linotype" w:hAnsi="Palatino Linotype" w:cs="Arial"/>
          <w:lang w:eastAsia="es-MX"/>
        </w:rPr>
        <w:t>Por tanto al no considerarse un</w:t>
      </w:r>
      <w:r w:rsidR="00CB13A7" w:rsidRPr="00A00383">
        <w:rPr>
          <w:rFonts w:ascii="Palatino Linotype" w:hAnsi="Palatino Linotype" w:cs="Arial"/>
          <w:lang w:eastAsia="es-MX"/>
        </w:rPr>
        <w:t xml:space="preserve"> impedimento para que al Sujeto Obligado posea, genere o administre información al respecto</w:t>
      </w:r>
      <w:r w:rsidRPr="00A00383">
        <w:rPr>
          <w:rFonts w:ascii="Palatino Linotype" w:hAnsi="Palatino Linotype" w:cs="Arial"/>
          <w:lang w:eastAsia="es-MX"/>
        </w:rPr>
        <w:t>, es</w:t>
      </w:r>
      <w:r w:rsidR="00FE3075" w:rsidRPr="00A00383">
        <w:rPr>
          <w:rFonts w:ascii="Palatino Linotype" w:hAnsi="Palatino Linotype" w:cs="Arial"/>
          <w:lang w:eastAsia="es-MX"/>
        </w:rPr>
        <w:t xml:space="preserve"> que el suscrito, considera que si se actualizan los supuestos jurídicos, previstos en los artículos 12 y 24 de la Ley de Transparencia y Acceso a la Información Pública del Estado de México y Municipios, que son del tenor literal siguiente:</w:t>
      </w:r>
    </w:p>
    <w:p w:rsidR="00FE3075" w:rsidRPr="00A00383" w:rsidRDefault="00FE3075" w:rsidP="00FE3075">
      <w:pPr>
        <w:spacing w:line="360" w:lineRule="auto"/>
        <w:jc w:val="both"/>
        <w:rPr>
          <w:rFonts w:ascii="Palatino Linotype" w:hAnsi="Palatino Linotype" w:cs="Arial"/>
          <w:lang w:eastAsia="es-MX"/>
        </w:rPr>
      </w:pPr>
    </w:p>
    <w:p w:rsidR="00FE3075" w:rsidRPr="00A00383" w:rsidRDefault="00FE3075" w:rsidP="00FE3075">
      <w:pPr>
        <w:ind w:left="709" w:right="757"/>
        <w:jc w:val="both"/>
        <w:rPr>
          <w:rFonts w:ascii="Palatino Linotype" w:hAnsi="Palatino Linotype" w:cs="Arial"/>
          <w:i/>
          <w:sz w:val="22"/>
          <w:lang w:eastAsia="es-MX"/>
        </w:rPr>
      </w:pPr>
      <w:r w:rsidRPr="00A00383">
        <w:rPr>
          <w:rFonts w:ascii="Palatino Linotype" w:hAnsi="Palatino Linotype" w:cs="Arial"/>
          <w:i/>
          <w:sz w:val="22"/>
          <w:lang w:eastAsia="es-MX"/>
        </w:rPr>
        <w:lastRenderedPageBreak/>
        <w:t>“</w:t>
      </w:r>
      <w:r w:rsidRPr="00A00383">
        <w:rPr>
          <w:rFonts w:ascii="Palatino Linotype" w:hAnsi="Palatino Linotype" w:cs="Arial"/>
          <w:b/>
          <w:i/>
          <w:sz w:val="22"/>
          <w:lang w:eastAsia="es-MX"/>
        </w:rPr>
        <w:t>Artículo 12</w:t>
      </w:r>
      <w:r w:rsidRPr="00A00383">
        <w:rPr>
          <w:rFonts w:ascii="Palatino Linotype" w:hAnsi="Palatino Linotype" w:cs="Arial"/>
          <w:i/>
          <w:sz w:val="22"/>
          <w:lang w:eastAsia="es-MX"/>
        </w:rPr>
        <w:t xml:space="preserve">. Quienes </w:t>
      </w:r>
      <w:r w:rsidRPr="00A00383">
        <w:rPr>
          <w:rFonts w:ascii="Palatino Linotype" w:hAnsi="Palatino Linotype" w:cs="Arial"/>
          <w:b/>
          <w:i/>
          <w:sz w:val="22"/>
          <w:lang w:eastAsia="es-MX"/>
        </w:rPr>
        <w:t>generen, recopilen, administren, manejen, procesen, archiven o conserven información pública</w:t>
      </w:r>
      <w:r w:rsidRPr="00A00383">
        <w:rPr>
          <w:rFonts w:ascii="Palatino Linotype" w:hAnsi="Palatino Linotype" w:cs="Arial"/>
          <w:i/>
          <w:sz w:val="22"/>
          <w:lang w:eastAsia="es-MX"/>
        </w:rPr>
        <w:t xml:space="preserve"> serán responsables de la misma en los términos de las disposiciones jurídicas aplicables.</w:t>
      </w:r>
    </w:p>
    <w:p w:rsidR="00FE3075" w:rsidRPr="00A00383" w:rsidRDefault="00FE3075" w:rsidP="00FE3075">
      <w:pPr>
        <w:ind w:left="709" w:right="757"/>
        <w:jc w:val="both"/>
        <w:rPr>
          <w:rFonts w:ascii="Palatino Linotype" w:hAnsi="Palatino Linotype" w:cs="Arial"/>
          <w:i/>
          <w:sz w:val="22"/>
          <w:lang w:eastAsia="es-MX"/>
        </w:rPr>
      </w:pPr>
    </w:p>
    <w:p w:rsidR="00FE3075" w:rsidRPr="00A00383" w:rsidRDefault="00FE3075" w:rsidP="00FE3075">
      <w:pPr>
        <w:ind w:left="709" w:right="757"/>
        <w:jc w:val="both"/>
        <w:rPr>
          <w:rFonts w:ascii="Palatino Linotype" w:hAnsi="Palatino Linotype" w:cs="Arial"/>
          <w:i/>
          <w:sz w:val="22"/>
          <w:lang w:eastAsia="es-MX"/>
        </w:rPr>
      </w:pPr>
      <w:r w:rsidRPr="00A00383">
        <w:rPr>
          <w:rFonts w:ascii="Palatino Linotype" w:hAnsi="Palatino Linotype" w:cs="Arial"/>
          <w:i/>
          <w:sz w:val="22"/>
          <w:lang w:eastAsia="es-MX"/>
        </w:rPr>
        <w:t xml:space="preserve">Los sujetos obligados </w:t>
      </w:r>
      <w:r w:rsidRPr="00A00383">
        <w:rPr>
          <w:rFonts w:ascii="Palatino Linotype" w:hAnsi="Palatino Linotype" w:cs="Arial"/>
          <w:b/>
          <w:i/>
          <w:sz w:val="22"/>
          <w:lang w:eastAsia="es-MX"/>
        </w:rPr>
        <w:t>sólo proporcionarán la información pública que se les requiera y que obre en sus archivos y en el estado en que ésta se encuentre</w:t>
      </w:r>
      <w:r w:rsidRPr="00A00383">
        <w:rPr>
          <w:rFonts w:ascii="Palatino Linotype" w:hAnsi="Palatino Linotype" w:cs="Arial"/>
          <w:i/>
          <w:sz w:val="22"/>
          <w:lang w:eastAsia="es-MX"/>
        </w:rPr>
        <w:t>. La obligación de proporcionar información no comprende el procesamiento de la misma, ni el presentarla conforme al interés del solicitante; no estarán obligados a generarla, resumirla, efectuar cálculos o practicar investigaciones.</w:t>
      </w:r>
    </w:p>
    <w:p w:rsidR="00FE3075" w:rsidRPr="00A00383" w:rsidRDefault="00FE3075" w:rsidP="00FE3075">
      <w:pPr>
        <w:ind w:left="709" w:right="757"/>
        <w:jc w:val="both"/>
        <w:rPr>
          <w:rFonts w:ascii="Palatino Linotype" w:hAnsi="Palatino Linotype" w:cs="Arial"/>
          <w:i/>
          <w:sz w:val="22"/>
          <w:lang w:eastAsia="es-MX"/>
        </w:rPr>
      </w:pPr>
    </w:p>
    <w:p w:rsidR="00FE3075" w:rsidRPr="00A00383" w:rsidRDefault="00FE3075" w:rsidP="00FE3075">
      <w:pPr>
        <w:ind w:left="709" w:right="757"/>
        <w:jc w:val="both"/>
        <w:rPr>
          <w:rFonts w:ascii="Palatino Linotype" w:hAnsi="Palatino Linotype" w:cs="Arial"/>
          <w:i/>
          <w:sz w:val="22"/>
          <w:lang w:eastAsia="es-MX"/>
        </w:rPr>
      </w:pPr>
      <w:r w:rsidRPr="00A00383">
        <w:rPr>
          <w:rFonts w:ascii="Palatino Linotype" w:hAnsi="Palatino Linotype" w:cs="Arial"/>
          <w:b/>
          <w:i/>
          <w:sz w:val="22"/>
          <w:lang w:eastAsia="es-MX"/>
        </w:rPr>
        <w:t>Artículo 24.</w:t>
      </w:r>
      <w:r w:rsidRPr="00A00383">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rsidR="00FE3075" w:rsidRPr="00A00383" w:rsidRDefault="00FE3075" w:rsidP="00FE3075">
      <w:pPr>
        <w:ind w:left="709" w:right="757"/>
        <w:jc w:val="both"/>
        <w:rPr>
          <w:rFonts w:ascii="Palatino Linotype" w:hAnsi="Palatino Linotype" w:cs="Arial"/>
          <w:i/>
          <w:sz w:val="22"/>
          <w:lang w:eastAsia="es-MX"/>
        </w:rPr>
      </w:pPr>
    </w:p>
    <w:p w:rsidR="00FE3075" w:rsidRPr="00A00383" w:rsidRDefault="00FE3075" w:rsidP="00FE3075">
      <w:pPr>
        <w:ind w:left="709" w:right="757"/>
        <w:jc w:val="both"/>
        <w:rPr>
          <w:rFonts w:ascii="Palatino Linotype" w:hAnsi="Palatino Linotype" w:cs="Arial"/>
          <w:i/>
          <w:sz w:val="22"/>
          <w:lang w:eastAsia="es-MX"/>
        </w:rPr>
      </w:pPr>
      <w:r w:rsidRPr="00A00383">
        <w:rPr>
          <w:rFonts w:ascii="Palatino Linotype" w:hAnsi="Palatino Linotype" w:cs="Arial"/>
          <w:b/>
          <w:i/>
          <w:sz w:val="22"/>
          <w:lang w:eastAsia="es-MX"/>
        </w:rPr>
        <w:t>…</w:t>
      </w:r>
    </w:p>
    <w:p w:rsidR="00FE3075" w:rsidRPr="00A00383" w:rsidRDefault="00FE3075" w:rsidP="00FE3075">
      <w:pPr>
        <w:ind w:left="709" w:right="757"/>
        <w:jc w:val="both"/>
        <w:rPr>
          <w:rFonts w:ascii="Palatino Linotype" w:hAnsi="Palatino Linotype" w:cs="Arial"/>
          <w:i/>
          <w:sz w:val="22"/>
          <w:lang w:eastAsia="es-MX"/>
        </w:rPr>
      </w:pPr>
    </w:p>
    <w:p w:rsidR="00FE3075" w:rsidRPr="00A00383" w:rsidRDefault="00FE3075" w:rsidP="00D0774E">
      <w:pPr>
        <w:pStyle w:val="Prrafodelista"/>
        <w:spacing w:line="360" w:lineRule="auto"/>
        <w:ind w:left="709"/>
        <w:jc w:val="both"/>
        <w:rPr>
          <w:rFonts w:ascii="Palatino Linotype" w:hAnsi="Palatino Linotype" w:cs="Arial"/>
          <w:b/>
          <w:lang w:eastAsia="es-MX"/>
        </w:rPr>
      </w:pPr>
      <w:r w:rsidRPr="00A00383">
        <w:rPr>
          <w:rFonts w:ascii="Palatino Linotype" w:hAnsi="Palatino Linotype" w:cs="Arial"/>
          <w:b/>
          <w:i/>
          <w:sz w:val="22"/>
          <w:lang w:eastAsia="es-MX"/>
        </w:rPr>
        <w:t>Los sujetos obligados solo proporcionarán la información pública que generen, administren o posean en el ejercicio de sus atribuciones.”</w:t>
      </w:r>
      <w:r w:rsidRPr="00A00383">
        <w:rPr>
          <w:rFonts w:ascii="Palatino Linotype" w:hAnsi="Palatino Linotype" w:cs="Arial"/>
          <w:b/>
          <w:lang w:eastAsia="es-MX"/>
        </w:rPr>
        <w:t xml:space="preserve"> </w:t>
      </w:r>
    </w:p>
    <w:p w:rsidR="00FE3075" w:rsidRPr="00A00383" w:rsidRDefault="00D0774E" w:rsidP="00FE3075">
      <w:pPr>
        <w:pStyle w:val="Prrafodelista"/>
        <w:rPr>
          <w:rFonts w:ascii="Palatino Linotype" w:hAnsi="Palatino Linotype" w:cs="Arial"/>
          <w:lang w:eastAsia="es-MX"/>
        </w:rPr>
      </w:pPr>
      <w:r w:rsidRPr="00A00383">
        <w:rPr>
          <w:rFonts w:ascii="Palatino Linotype" w:hAnsi="Palatino Linotype" w:cs="Arial"/>
          <w:lang w:eastAsia="es-MX"/>
        </w:rPr>
        <w:t>(Énfasis añadido)</w:t>
      </w:r>
    </w:p>
    <w:p w:rsidR="00D0774E" w:rsidRPr="00A00383" w:rsidRDefault="00D0774E" w:rsidP="00FE3075">
      <w:pPr>
        <w:pStyle w:val="Prrafodelista"/>
        <w:rPr>
          <w:rFonts w:ascii="Palatino Linotype" w:hAnsi="Palatino Linotype" w:cs="Arial"/>
          <w:lang w:eastAsia="es-MX"/>
        </w:rPr>
      </w:pPr>
    </w:p>
    <w:p w:rsidR="00CF16BC" w:rsidRPr="00A00383" w:rsidRDefault="00CF16BC" w:rsidP="00FE3075">
      <w:pPr>
        <w:pStyle w:val="Prrafodelista"/>
        <w:rPr>
          <w:rFonts w:ascii="Palatino Linotype" w:hAnsi="Palatino Linotype" w:cs="Arial"/>
          <w:lang w:eastAsia="es-MX"/>
        </w:rPr>
      </w:pPr>
    </w:p>
    <w:p w:rsidR="00FE3075" w:rsidRPr="00A00383" w:rsidRDefault="00FE3075" w:rsidP="00CF16BC">
      <w:pPr>
        <w:pStyle w:val="Ttulo1"/>
        <w:numPr>
          <w:ilvl w:val="0"/>
          <w:numId w:val="42"/>
        </w:numPr>
        <w:rPr>
          <w:rFonts w:cs="Arial"/>
        </w:rPr>
      </w:pPr>
      <w:bookmarkStart w:id="8" w:name="_Toc454206823"/>
      <w:bookmarkStart w:id="9" w:name="_Toc523157562"/>
      <w:r w:rsidRPr="00A00383">
        <w:t>Conclusión.</w:t>
      </w:r>
      <w:bookmarkEnd w:id="8"/>
      <w:bookmarkEnd w:id="9"/>
    </w:p>
    <w:p w:rsidR="00FE3075" w:rsidRPr="00A00383" w:rsidRDefault="00FE3075" w:rsidP="00FE3075">
      <w:pPr>
        <w:pStyle w:val="Prrafodelista"/>
        <w:spacing w:line="360" w:lineRule="auto"/>
        <w:ind w:left="426"/>
        <w:jc w:val="both"/>
        <w:rPr>
          <w:rFonts w:ascii="Palatino Linotype" w:hAnsi="Palatino Linotype" w:cs="Arial"/>
          <w:lang w:eastAsia="es-MX"/>
        </w:rPr>
      </w:pPr>
    </w:p>
    <w:p w:rsidR="00CB13A7" w:rsidRPr="00A00383" w:rsidRDefault="00FE3075" w:rsidP="006E2911">
      <w:pPr>
        <w:pStyle w:val="Prrafodelista"/>
        <w:numPr>
          <w:ilvl w:val="0"/>
          <w:numId w:val="41"/>
        </w:numPr>
        <w:spacing w:line="360" w:lineRule="auto"/>
        <w:jc w:val="both"/>
        <w:rPr>
          <w:rFonts w:ascii="Palatino Linotype" w:hAnsi="Palatino Linotype" w:cs="Arial"/>
          <w:lang w:eastAsia="es-MX"/>
        </w:rPr>
      </w:pPr>
      <w:r w:rsidRPr="00A00383">
        <w:rPr>
          <w:rFonts w:ascii="Palatino Linotype" w:hAnsi="Palatino Linotype" w:cs="Arial"/>
          <w:lang w:eastAsia="es-MX"/>
        </w:rPr>
        <w:t>R</w:t>
      </w:r>
      <w:r w:rsidR="00CB13A7" w:rsidRPr="00A00383">
        <w:rPr>
          <w:rFonts w:ascii="Palatino Linotype" w:hAnsi="Palatino Linotype" w:cs="Arial"/>
          <w:lang w:eastAsia="es-MX"/>
        </w:rPr>
        <w:t>esulta extraordinario</w:t>
      </w:r>
      <w:r w:rsidRPr="00A00383">
        <w:rPr>
          <w:rFonts w:ascii="Palatino Linotype" w:hAnsi="Palatino Linotype" w:cs="Arial"/>
          <w:lang w:eastAsia="es-MX"/>
        </w:rPr>
        <w:t xml:space="preserve"> que la Universidad Politécnica del Valle de Toluca</w:t>
      </w:r>
      <w:r w:rsidR="00ED2F56" w:rsidRPr="00A00383">
        <w:rPr>
          <w:rFonts w:ascii="Palatino Linotype" w:hAnsi="Palatino Linotype" w:cs="Arial"/>
          <w:lang w:eastAsia="es-MX"/>
        </w:rPr>
        <w:t>,</w:t>
      </w:r>
      <w:r w:rsidR="00CB13A7" w:rsidRPr="00A00383">
        <w:rPr>
          <w:rFonts w:ascii="Palatino Linotype" w:hAnsi="Palatino Linotype" w:cs="Arial"/>
          <w:lang w:eastAsia="es-MX"/>
        </w:rPr>
        <w:t xml:space="preserve"> no</w:t>
      </w:r>
      <w:r w:rsidR="00A410B3" w:rsidRPr="00A00383">
        <w:rPr>
          <w:rFonts w:ascii="Palatino Linotype" w:hAnsi="Palatino Linotype" w:cs="Arial"/>
          <w:lang w:eastAsia="es-MX"/>
        </w:rPr>
        <w:t xml:space="preserve"> posea soporte documental al respecto, y sea declarado por completo incompetente. No obstante se considera que efectivamente</w:t>
      </w:r>
      <w:r w:rsidR="00ED2F56" w:rsidRPr="00A00383">
        <w:rPr>
          <w:rFonts w:ascii="Palatino Linotype" w:hAnsi="Palatino Linotype" w:cs="Arial"/>
          <w:lang w:eastAsia="es-MX"/>
        </w:rPr>
        <w:t>, para mejor proveer de la información que satisfaga las pretensiones de la particular, el</w:t>
      </w:r>
      <w:r w:rsidR="00A410B3" w:rsidRPr="00A00383">
        <w:rPr>
          <w:rFonts w:ascii="Palatino Linotype" w:hAnsi="Palatino Linotype" w:cs="Arial"/>
          <w:lang w:eastAsia="es-MX"/>
        </w:rPr>
        <w:t xml:space="preserve"> Sujeto Obligado </w:t>
      </w:r>
      <w:r w:rsidR="00A410B3" w:rsidRPr="00A00383">
        <w:rPr>
          <w:rFonts w:ascii="Palatino Linotype" w:eastAsiaTheme="minorEastAsia" w:hAnsi="Palatino Linotype" w:cs="Bookman Old Style"/>
          <w:szCs w:val="22"/>
        </w:rPr>
        <w:t xml:space="preserve">Secretaría de la Contraloría es el oportuno </w:t>
      </w:r>
      <w:proofErr w:type="gramStart"/>
      <w:r w:rsidR="00A410B3" w:rsidRPr="00A00383">
        <w:rPr>
          <w:rFonts w:ascii="Palatino Linotype" w:eastAsiaTheme="minorEastAsia" w:hAnsi="Palatino Linotype" w:cs="Bookman Old Style"/>
          <w:szCs w:val="22"/>
        </w:rPr>
        <w:t>para</w:t>
      </w:r>
      <w:r w:rsidR="00ED2F56" w:rsidRPr="00A00383">
        <w:rPr>
          <w:rFonts w:ascii="Palatino Linotype" w:eastAsiaTheme="minorEastAsia" w:hAnsi="Palatino Linotype" w:cs="Bookman Old Style"/>
          <w:szCs w:val="22"/>
        </w:rPr>
        <w:t xml:space="preserve"> </w:t>
      </w:r>
      <w:r w:rsidR="00A410B3" w:rsidRPr="00A00383">
        <w:rPr>
          <w:rFonts w:ascii="Palatino Linotype" w:eastAsiaTheme="minorEastAsia" w:hAnsi="Palatino Linotype" w:cs="Bookman Old Style"/>
          <w:szCs w:val="22"/>
        </w:rPr>
        <w:t xml:space="preserve"> dirigir</w:t>
      </w:r>
      <w:proofErr w:type="gramEnd"/>
      <w:r w:rsidR="00A410B3" w:rsidRPr="00A00383">
        <w:rPr>
          <w:rFonts w:ascii="Palatino Linotype" w:eastAsiaTheme="minorEastAsia" w:hAnsi="Palatino Linotype" w:cs="Bookman Old Style"/>
          <w:szCs w:val="22"/>
        </w:rPr>
        <w:t xml:space="preserve"> su solicitud de información.</w:t>
      </w:r>
    </w:p>
    <w:p w:rsidR="00FF4B33" w:rsidRPr="00A00383" w:rsidRDefault="00FF4B33"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A00383">
        <w:rPr>
          <w:rFonts w:ascii="Palatino Linotype" w:hAnsi="Palatino Linotype" w:cs="Arial"/>
        </w:rPr>
        <w:lastRenderedPageBreak/>
        <w:t xml:space="preserve"> En razón a las consideraciones antes señaladas es que no puedo compartir el sentido de la resolución adoptada </w:t>
      </w:r>
      <w:r w:rsidR="00ED2F56" w:rsidRPr="00A00383">
        <w:rPr>
          <w:rFonts w:ascii="Palatino Linotype" w:hAnsi="Palatino Linotype" w:cs="Arial"/>
        </w:rPr>
        <w:t>para</w:t>
      </w:r>
      <w:r w:rsidRPr="00A00383">
        <w:rPr>
          <w:rFonts w:ascii="Palatino Linotype" w:hAnsi="Palatino Linotype" w:cs="Arial"/>
        </w:rPr>
        <w:t xml:space="preserve"> </w:t>
      </w:r>
      <w:r w:rsidR="00ED2F56" w:rsidRPr="00A00383">
        <w:rPr>
          <w:rFonts w:ascii="Palatino Linotype" w:hAnsi="Palatino Linotype" w:cs="Arial"/>
        </w:rPr>
        <w:t>modificar la respuesta del Sujeto Obligado y ordenarle una debida</w:t>
      </w:r>
      <w:r w:rsidR="00ED2F56" w:rsidRPr="00A00383">
        <w:rPr>
          <w:rFonts w:ascii="Palatino Linotype" w:hAnsi="Palatino Linotype"/>
        </w:rPr>
        <w:t xml:space="preserve"> elaboración del </w:t>
      </w:r>
      <w:r w:rsidR="00D0774E" w:rsidRPr="00A00383">
        <w:rPr>
          <w:rFonts w:ascii="Palatino Linotype" w:hAnsi="Palatino Linotype"/>
        </w:rPr>
        <w:t>a</w:t>
      </w:r>
      <w:r w:rsidR="00ED2F56" w:rsidRPr="00A00383">
        <w:rPr>
          <w:rFonts w:ascii="Palatino Linotype" w:hAnsi="Palatino Linotype" w:cs="Arial"/>
        </w:rPr>
        <w:t>cuerdo que emita el Comité de Transparencia mediante el que confirme la declaratoria de incompetencia respecto de la información solicitada</w:t>
      </w:r>
      <w:r w:rsidRPr="00A00383">
        <w:rPr>
          <w:rFonts w:ascii="Palatino Linotype" w:hAnsi="Palatino Linotype" w:cs="Arial"/>
        </w:rPr>
        <w:t>, motivando el presente</w:t>
      </w:r>
      <w:r w:rsidR="008517AF" w:rsidRPr="00A00383">
        <w:rPr>
          <w:rFonts w:ascii="Palatino Linotype" w:hAnsi="Palatino Linotype" w:cs="Arial"/>
        </w:rPr>
        <w:t xml:space="preserve"> voto disidente.</w:t>
      </w:r>
    </w:p>
    <w:p w:rsidR="000D714D" w:rsidRPr="00A00383" w:rsidRDefault="000D714D" w:rsidP="006E2911">
      <w:pPr>
        <w:pStyle w:val="Prrafodelista"/>
        <w:rPr>
          <w:rFonts w:ascii="Palatino Linotype" w:hAnsi="Palatino Linotype" w:cs="Arial"/>
        </w:rPr>
      </w:pPr>
    </w:p>
    <w:p w:rsidR="000D714D" w:rsidRPr="00A00383" w:rsidRDefault="000D714D" w:rsidP="006E2911">
      <w:pPr>
        <w:pStyle w:val="Prrafode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Palatino Linotype" w:hAnsi="Palatino Linotype" w:cs="Arial"/>
        </w:rPr>
      </w:pPr>
      <w:r w:rsidRPr="00A00383">
        <w:rPr>
          <w:rFonts w:ascii="Palatino Linotype" w:hAnsi="Palatino Linotype" w:cs="Arial"/>
        </w:rPr>
        <w:t xml:space="preserve">Este Órgano Garante debe revisar en forma minuciosa en todos los casos, si se </w:t>
      </w:r>
      <w:r w:rsidR="00D0774E" w:rsidRPr="00A00383">
        <w:rPr>
          <w:rFonts w:ascii="Palatino Linotype" w:hAnsi="Palatino Linotype" w:cs="Arial"/>
        </w:rPr>
        <w:t>posee todo o parte de la información que requieren los particulares y verificar si se entrega</w:t>
      </w:r>
      <w:r w:rsidRPr="00A00383">
        <w:rPr>
          <w:rFonts w:ascii="Palatino Linotype" w:hAnsi="Palatino Linotype" w:cs="Arial"/>
        </w:rPr>
        <w:t xml:space="preserve"> a los peticionarios todos y cada uno de los puntos que fueron solicitados, </w:t>
      </w:r>
      <w:r w:rsidR="00A31B0C" w:rsidRPr="00A00383">
        <w:rPr>
          <w:rFonts w:ascii="Palatino Linotype" w:hAnsi="Palatino Linotype" w:cs="Arial"/>
        </w:rPr>
        <w:t>y dejar a cabalidad</w:t>
      </w:r>
      <w:r w:rsidRPr="00A00383">
        <w:rPr>
          <w:rFonts w:ascii="Palatino Linotype" w:hAnsi="Palatino Linotype" w:cs="Arial"/>
        </w:rPr>
        <w:t xml:space="preserve"> satisfecho el Derecho de Acceder a la Infor</w:t>
      </w:r>
      <w:r w:rsidR="00A31B0C" w:rsidRPr="00A00383">
        <w:rPr>
          <w:rFonts w:ascii="Palatino Linotype" w:hAnsi="Palatino Linotype" w:cs="Arial"/>
        </w:rPr>
        <w:t>mación Pública y garantizar</w:t>
      </w:r>
      <w:r w:rsidRPr="00A00383">
        <w:rPr>
          <w:rFonts w:ascii="Palatino Linotype" w:hAnsi="Palatino Linotype" w:cs="Arial"/>
        </w:rPr>
        <w:t xml:space="preserve"> el derecho fundamental.</w:t>
      </w:r>
    </w:p>
    <w:p w:rsidR="00BE1AF8"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A00383" w:rsidRDefault="00A00383"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194198" w:rsidRPr="00A00383" w:rsidRDefault="0019419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A00383"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A00383" w:rsidRDefault="00BE1AF8" w:rsidP="00A00383">
      <w:pPr>
        <w:jc w:val="center"/>
        <w:rPr>
          <w:rFonts w:ascii="Palatino Linotype" w:eastAsia="Arial" w:hAnsi="Palatino Linotype" w:cs="Arial"/>
          <w:b/>
          <w:color w:val="000000"/>
          <w:bdr w:val="none" w:sz="0" w:space="0" w:color="auto"/>
          <w:lang w:eastAsia="es-MX"/>
        </w:rPr>
      </w:pPr>
      <w:r w:rsidRPr="00A00383">
        <w:rPr>
          <w:rFonts w:ascii="Palatino Linotype" w:eastAsia="Arial" w:hAnsi="Palatino Linotype" w:cs="Arial"/>
          <w:b/>
          <w:color w:val="000000"/>
          <w:lang w:eastAsia="es-MX"/>
        </w:rPr>
        <w:t>JOSÉ GUADALUPE LUNA HERNÁNDEZ</w:t>
      </w:r>
    </w:p>
    <w:p w:rsidR="00BE1AF8" w:rsidRPr="00A00383" w:rsidRDefault="00BE1AF8" w:rsidP="00A00383">
      <w:pPr>
        <w:jc w:val="center"/>
        <w:rPr>
          <w:rFonts w:ascii="Palatino Linotype" w:eastAsia="Arial" w:hAnsi="Palatino Linotype" w:cs="Arial"/>
          <w:b/>
          <w:color w:val="000000"/>
          <w:lang w:eastAsia="es-MX"/>
        </w:rPr>
      </w:pPr>
      <w:r w:rsidRPr="00A00383">
        <w:rPr>
          <w:rFonts w:ascii="Palatino Linotype" w:eastAsia="Arial" w:hAnsi="Palatino Linotype" w:cs="Arial"/>
          <w:b/>
          <w:color w:val="000000"/>
          <w:lang w:eastAsia="es-MX"/>
        </w:rPr>
        <w:t>COMISIONADO</w:t>
      </w:r>
    </w:p>
    <w:p w:rsidR="00A00383" w:rsidRDefault="00A00383" w:rsidP="00F436A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p w:rsidR="00A00383" w:rsidRDefault="00A00383" w:rsidP="00A00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A00383" w:rsidRPr="00A00383" w:rsidRDefault="00A00383" w:rsidP="00A00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sz w:val="20"/>
          <w:szCs w:val="20"/>
        </w:rPr>
      </w:pPr>
      <w:r w:rsidRPr="00A00383">
        <w:rPr>
          <w:rFonts w:ascii="Palatino Linotype" w:hAnsi="Palatino Linotype" w:cs="Arial"/>
          <w:b/>
          <w:sz w:val="20"/>
          <w:szCs w:val="20"/>
        </w:rPr>
        <w:t>JGLH/MULR</w:t>
      </w:r>
    </w:p>
    <w:sectPr w:rsidR="00A00383" w:rsidRPr="00A00383"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F4" w:rsidRDefault="00DC74F4" w:rsidP="00ED7332">
      <w:r>
        <w:separator/>
      </w:r>
    </w:p>
  </w:endnote>
  <w:endnote w:type="continuationSeparator" w:id="0">
    <w:p w:rsidR="00DC74F4" w:rsidRDefault="00DC74F4"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92DE4">
              <w:rPr>
                <w:rFonts w:ascii="Palatino Linotype" w:hAnsi="Palatino Linotype"/>
                <w:b/>
                <w:bCs/>
                <w:noProof/>
                <w:sz w:val="20"/>
                <w:szCs w:val="20"/>
              </w:rPr>
              <w:t>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92DE4">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951E8B" w:rsidRDefault="00DC7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F4" w:rsidRDefault="00DC74F4" w:rsidP="00ED7332">
      <w:r>
        <w:separator/>
      </w:r>
    </w:p>
  </w:footnote>
  <w:footnote w:type="continuationSeparator" w:id="0">
    <w:p w:rsidR="00DC74F4" w:rsidRDefault="00DC74F4"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C74F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C74F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C74F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3">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5">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6">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4E641F14"/>
    <w:multiLevelType w:val="hybridMultilevel"/>
    <w:tmpl w:val="929E26A8"/>
    <w:lvl w:ilvl="0" w:tplc="87D8E508">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5">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1">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7"/>
  </w:num>
  <w:num w:numId="3">
    <w:abstractNumId w:val="34"/>
  </w:num>
  <w:num w:numId="4">
    <w:abstractNumId w:val="5"/>
  </w:num>
  <w:num w:numId="5">
    <w:abstractNumId w:val="12"/>
  </w:num>
  <w:num w:numId="6">
    <w:abstractNumId w:val="2"/>
  </w:num>
  <w:num w:numId="7">
    <w:abstractNumId w:val="21"/>
  </w:num>
  <w:num w:numId="8">
    <w:abstractNumId w:val="37"/>
  </w:num>
  <w:num w:numId="9">
    <w:abstractNumId w:val="15"/>
  </w:num>
  <w:num w:numId="10">
    <w:abstractNumId w:val="1"/>
  </w:num>
  <w:num w:numId="11">
    <w:abstractNumId w:val="0"/>
  </w:num>
  <w:num w:numId="12">
    <w:abstractNumId w:val="20"/>
  </w:num>
  <w:num w:numId="13">
    <w:abstractNumId w:val="4"/>
  </w:num>
  <w:num w:numId="14">
    <w:abstractNumId w:val="32"/>
  </w:num>
  <w:num w:numId="15">
    <w:abstractNumId w:val="31"/>
  </w:num>
  <w:num w:numId="16">
    <w:abstractNumId w:val="17"/>
  </w:num>
  <w:num w:numId="17">
    <w:abstractNumId w:val="9"/>
  </w:num>
  <w:num w:numId="18">
    <w:abstractNumId w:val="6"/>
  </w:num>
  <w:num w:numId="19">
    <w:abstractNumId w:val="33"/>
  </w:num>
  <w:num w:numId="20">
    <w:abstractNumId w:val="14"/>
  </w:num>
  <w:num w:numId="21">
    <w:abstractNumId w:val="35"/>
  </w:num>
  <w:num w:numId="22">
    <w:abstractNumId w:val="11"/>
  </w:num>
  <w:num w:numId="23">
    <w:abstractNumId w:val="13"/>
  </w:num>
  <w:num w:numId="24">
    <w:abstractNumId w:val="25"/>
  </w:num>
  <w:num w:numId="25">
    <w:abstractNumId w:val="16"/>
  </w:num>
  <w:num w:numId="26">
    <w:abstractNumId w:val="3"/>
  </w:num>
  <w:num w:numId="27">
    <w:abstractNumId w:val="8"/>
  </w:num>
  <w:num w:numId="28">
    <w:abstractNumId w:val="24"/>
  </w:num>
  <w:num w:numId="29">
    <w:abstractNumId w:val="10"/>
  </w:num>
  <w:num w:numId="30">
    <w:abstractNumId w:val="29"/>
  </w:num>
  <w:num w:numId="31">
    <w:abstractNumId w:val="23"/>
  </w:num>
  <w:num w:numId="32">
    <w:abstractNumId w:val="3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0"/>
  </w:num>
  <w:num w:numId="36">
    <w:abstractNumId w:val="26"/>
  </w:num>
  <w:num w:numId="37">
    <w:abstractNumId w:val="18"/>
  </w:num>
  <w:num w:numId="38">
    <w:abstractNumId w:val="27"/>
  </w:num>
  <w:num w:numId="39">
    <w:abstractNumId w:val="19"/>
  </w:num>
  <w:num w:numId="40">
    <w:abstractNumId w:val="28"/>
  </w:num>
  <w:num w:numId="41">
    <w:abstractNumId w:val="36"/>
  </w:num>
  <w:num w:numId="42">
    <w:abstractNumId w:val="18"/>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9296B"/>
    <w:rsid w:val="000963B3"/>
    <w:rsid w:val="00097AD7"/>
    <w:rsid w:val="000B0E25"/>
    <w:rsid w:val="000D714D"/>
    <w:rsid w:val="000E7EE8"/>
    <w:rsid w:val="000F1159"/>
    <w:rsid w:val="000F2AC8"/>
    <w:rsid w:val="00103510"/>
    <w:rsid w:val="00115126"/>
    <w:rsid w:val="0015416E"/>
    <w:rsid w:val="0016141F"/>
    <w:rsid w:val="00161D60"/>
    <w:rsid w:val="00173575"/>
    <w:rsid w:val="00187C5A"/>
    <w:rsid w:val="00194198"/>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72A4"/>
    <w:rsid w:val="003765B0"/>
    <w:rsid w:val="0038405F"/>
    <w:rsid w:val="003A43CE"/>
    <w:rsid w:val="003A68B3"/>
    <w:rsid w:val="003C68B6"/>
    <w:rsid w:val="003D1215"/>
    <w:rsid w:val="003D513F"/>
    <w:rsid w:val="003F71B7"/>
    <w:rsid w:val="00421FE8"/>
    <w:rsid w:val="004252DB"/>
    <w:rsid w:val="00430106"/>
    <w:rsid w:val="0044710A"/>
    <w:rsid w:val="00482790"/>
    <w:rsid w:val="004915D5"/>
    <w:rsid w:val="00492DE4"/>
    <w:rsid w:val="004A75D5"/>
    <w:rsid w:val="004C4360"/>
    <w:rsid w:val="004D1629"/>
    <w:rsid w:val="0050137A"/>
    <w:rsid w:val="00503141"/>
    <w:rsid w:val="0052203D"/>
    <w:rsid w:val="00557948"/>
    <w:rsid w:val="00577A92"/>
    <w:rsid w:val="00586E51"/>
    <w:rsid w:val="005A09A1"/>
    <w:rsid w:val="005A55B8"/>
    <w:rsid w:val="005E6E1A"/>
    <w:rsid w:val="00614828"/>
    <w:rsid w:val="00630699"/>
    <w:rsid w:val="00633DCF"/>
    <w:rsid w:val="00635965"/>
    <w:rsid w:val="0063753D"/>
    <w:rsid w:val="006409B3"/>
    <w:rsid w:val="00642F7C"/>
    <w:rsid w:val="00644DC3"/>
    <w:rsid w:val="006500A4"/>
    <w:rsid w:val="00651B65"/>
    <w:rsid w:val="00696E58"/>
    <w:rsid w:val="006E2911"/>
    <w:rsid w:val="00711276"/>
    <w:rsid w:val="007226CE"/>
    <w:rsid w:val="007455F7"/>
    <w:rsid w:val="007631ED"/>
    <w:rsid w:val="00763471"/>
    <w:rsid w:val="00774A7F"/>
    <w:rsid w:val="0077794D"/>
    <w:rsid w:val="007A4E77"/>
    <w:rsid w:val="007A6A25"/>
    <w:rsid w:val="007A76AC"/>
    <w:rsid w:val="007B194A"/>
    <w:rsid w:val="007B1C16"/>
    <w:rsid w:val="007B70C2"/>
    <w:rsid w:val="007C25E8"/>
    <w:rsid w:val="007F5BB2"/>
    <w:rsid w:val="00835B3B"/>
    <w:rsid w:val="008517AF"/>
    <w:rsid w:val="00864D58"/>
    <w:rsid w:val="00876E43"/>
    <w:rsid w:val="00880EB4"/>
    <w:rsid w:val="00894FAC"/>
    <w:rsid w:val="008A78F1"/>
    <w:rsid w:val="008B29B7"/>
    <w:rsid w:val="008B2AC8"/>
    <w:rsid w:val="008B4B92"/>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00383"/>
    <w:rsid w:val="00A31B0C"/>
    <w:rsid w:val="00A3395D"/>
    <w:rsid w:val="00A36FB9"/>
    <w:rsid w:val="00A410B3"/>
    <w:rsid w:val="00A527F0"/>
    <w:rsid w:val="00AE112C"/>
    <w:rsid w:val="00AE1FD6"/>
    <w:rsid w:val="00B06084"/>
    <w:rsid w:val="00B079D3"/>
    <w:rsid w:val="00B305DB"/>
    <w:rsid w:val="00B35501"/>
    <w:rsid w:val="00B64221"/>
    <w:rsid w:val="00B82DF9"/>
    <w:rsid w:val="00B847C6"/>
    <w:rsid w:val="00BA7541"/>
    <w:rsid w:val="00BC23A5"/>
    <w:rsid w:val="00BD7E40"/>
    <w:rsid w:val="00BE1AF8"/>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D3F2D"/>
    <w:rsid w:val="00CE058D"/>
    <w:rsid w:val="00CF16BC"/>
    <w:rsid w:val="00D075E8"/>
    <w:rsid w:val="00D0774E"/>
    <w:rsid w:val="00D20EA2"/>
    <w:rsid w:val="00D212CB"/>
    <w:rsid w:val="00D349C5"/>
    <w:rsid w:val="00D37C48"/>
    <w:rsid w:val="00D420C4"/>
    <w:rsid w:val="00D570BC"/>
    <w:rsid w:val="00D74377"/>
    <w:rsid w:val="00D976D8"/>
    <w:rsid w:val="00DB5AF7"/>
    <w:rsid w:val="00DC613F"/>
    <w:rsid w:val="00DC74F4"/>
    <w:rsid w:val="00DE28AC"/>
    <w:rsid w:val="00DE7C9B"/>
    <w:rsid w:val="00DE7DF6"/>
    <w:rsid w:val="00E043DE"/>
    <w:rsid w:val="00E06C70"/>
    <w:rsid w:val="00E12C1D"/>
    <w:rsid w:val="00E25072"/>
    <w:rsid w:val="00E4540E"/>
    <w:rsid w:val="00E60C19"/>
    <w:rsid w:val="00E67744"/>
    <w:rsid w:val="00E80889"/>
    <w:rsid w:val="00EA4216"/>
    <w:rsid w:val="00EA734D"/>
    <w:rsid w:val="00EB46CE"/>
    <w:rsid w:val="00EC781B"/>
    <w:rsid w:val="00ED2F56"/>
    <w:rsid w:val="00ED5776"/>
    <w:rsid w:val="00ED7332"/>
    <w:rsid w:val="00EE3F52"/>
    <w:rsid w:val="00EF4D4D"/>
    <w:rsid w:val="00EF7BFC"/>
    <w:rsid w:val="00F15D14"/>
    <w:rsid w:val="00F3413E"/>
    <w:rsid w:val="00F436A4"/>
    <w:rsid w:val="00F56E5B"/>
    <w:rsid w:val="00F63F46"/>
    <w:rsid w:val="00F71FF7"/>
    <w:rsid w:val="00F73EA1"/>
    <w:rsid w:val="00F75AE7"/>
    <w:rsid w:val="00F77503"/>
    <w:rsid w:val="00FB534E"/>
    <w:rsid w:val="00FC0B18"/>
    <w:rsid w:val="00FC148F"/>
    <w:rsid w:val="00FE3075"/>
    <w:rsid w:val="00FE5FB6"/>
    <w:rsid w:val="00FE7484"/>
    <w:rsid w:val="00FF3D64"/>
    <w:rsid w:val="00FF4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CF16BC"/>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CF16BC"/>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7BA4-ECE0-465A-BA6F-7EF5B3FB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1530</Words>
  <Characters>8420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2018-09-06T17:59:00Z</cp:lastPrinted>
  <dcterms:created xsi:type="dcterms:W3CDTF">2018-08-27T23:32:00Z</dcterms:created>
  <dcterms:modified xsi:type="dcterms:W3CDTF">2018-11-07T20:35:00Z</dcterms:modified>
</cp:coreProperties>
</file>